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311A12BC" w:rsidR="000341A2" w:rsidRPr="000F4B02" w:rsidRDefault="0049700F" w:rsidP="00261FD9">
      <w:pPr>
        <w:jc w:val="center"/>
        <w:rPr>
          <w:rFonts w:cs="Arial"/>
          <w:b/>
          <w:sz w:val="26"/>
          <w:szCs w:val="26"/>
        </w:rPr>
      </w:pPr>
      <w:r w:rsidRPr="0049700F">
        <w:rPr>
          <w:b/>
          <w:sz w:val="26"/>
        </w:rPr>
        <w:t>A</w:t>
      </w:r>
      <w:r w:rsidR="004E00CE">
        <w:rPr>
          <w:b/>
          <w:sz w:val="26"/>
        </w:rPr>
        <w:t>r</w:t>
      </w:r>
      <w:r w:rsidRPr="0049700F">
        <w:rPr>
          <w:b/>
          <w:sz w:val="26"/>
        </w:rPr>
        <w:t>b</w:t>
      </w:r>
      <w:r w:rsidR="004E00CE">
        <w:rPr>
          <w:b/>
          <w:sz w:val="26"/>
        </w:rPr>
        <w:t>eitsunfall</w:t>
      </w:r>
      <w:r w:rsidRPr="0049700F">
        <w:rPr>
          <w:b/>
          <w:sz w:val="26"/>
        </w:rPr>
        <w:t xml:space="preserve">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C562E3" w:rsidRPr="00E6698A" w14:paraId="40463164" w14:textId="77777777" w:rsidTr="00AE6929">
        <w:tc>
          <w:tcPr>
            <w:tcW w:w="851" w:type="dxa"/>
            <w:vAlign w:val="center"/>
          </w:tcPr>
          <w:p w14:paraId="5DA93BEA" w14:textId="77D3306F" w:rsidR="00C562E3" w:rsidRPr="004E00CE" w:rsidRDefault="00C562E3" w:rsidP="00C562E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6.01</w:t>
            </w:r>
          </w:p>
        </w:tc>
        <w:tc>
          <w:tcPr>
            <w:tcW w:w="6889" w:type="dxa"/>
            <w:vAlign w:val="center"/>
          </w:tcPr>
          <w:p w14:paraId="406C5893" w14:textId="51C6F60D" w:rsidR="00C562E3" w:rsidRPr="00E6698A" w:rsidRDefault="00C562E3" w:rsidP="00C562E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5728AA">
              <w:rPr>
                <w:rFonts w:cs="Arial"/>
                <w:bCs/>
                <w:sz w:val="20"/>
                <w:szCs w:val="20"/>
              </w:rPr>
              <w:t xml:space="preserve">Sind die Praxismitarbeiter ausreichend über das Vorgehen und das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5728AA">
              <w:rPr>
                <w:rFonts w:cs="Arial"/>
                <w:bCs/>
                <w:sz w:val="20"/>
                <w:szCs w:val="20"/>
              </w:rPr>
              <w:t>Verhalten im Falle eines Arbeitsunfalls unterrichtet?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62E3" w:rsidRPr="00E6698A" w14:paraId="43441B69" w14:textId="77777777" w:rsidTr="00AE6929">
        <w:tc>
          <w:tcPr>
            <w:tcW w:w="851" w:type="dxa"/>
            <w:vAlign w:val="center"/>
          </w:tcPr>
          <w:p w14:paraId="5FE1AA95" w14:textId="2865AB7C" w:rsidR="00C562E3" w:rsidRPr="004E00CE" w:rsidRDefault="00C562E3" w:rsidP="00C562E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6.02</w:t>
            </w:r>
          </w:p>
        </w:tc>
        <w:tc>
          <w:tcPr>
            <w:tcW w:w="6889" w:type="dxa"/>
            <w:vAlign w:val="center"/>
          </w:tcPr>
          <w:p w14:paraId="6F5A0D7D" w14:textId="0A789846" w:rsidR="00C562E3" w:rsidRPr="00E6698A" w:rsidRDefault="00C562E3" w:rsidP="00C562E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5728AA">
              <w:rPr>
                <w:rFonts w:cs="Arial"/>
                <w:bCs/>
                <w:sz w:val="20"/>
                <w:szCs w:val="20"/>
              </w:rPr>
              <w:t>Kennen die Beschäftigten ihren Versicherungsschutz bei der Arbeit und auf dem Weg zur oder von der Arbeit?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62E3" w:rsidRPr="00E6698A" w14:paraId="14ABDEA6" w14:textId="77777777" w:rsidTr="00AE6929">
        <w:tc>
          <w:tcPr>
            <w:tcW w:w="851" w:type="dxa"/>
            <w:vAlign w:val="center"/>
          </w:tcPr>
          <w:p w14:paraId="26DC576C" w14:textId="7851398D" w:rsidR="00C562E3" w:rsidRPr="004E00CE" w:rsidRDefault="00C562E3" w:rsidP="00C562E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6.03</w:t>
            </w:r>
          </w:p>
        </w:tc>
        <w:tc>
          <w:tcPr>
            <w:tcW w:w="6889" w:type="dxa"/>
            <w:vAlign w:val="center"/>
          </w:tcPr>
          <w:p w14:paraId="6E12A0A0" w14:textId="58DA2C6F" w:rsidR="00C562E3" w:rsidRPr="00E6698A" w:rsidRDefault="00C562E3" w:rsidP="00C562E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5728AA">
              <w:rPr>
                <w:rFonts w:cs="Arial"/>
                <w:bCs/>
                <w:sz w:val="20"/>
                <w:szCs w:val="20"/>
              </w:rPr>
              <w:t xml:space="preserve">Steht den Praxismitarbeitern für die Dokumentation aller Arbeitsunfälle ein Verbandbuch zur Verfügung und wird dieses an einem allgemein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5728AA">
              <w:rPr>
                <w:rFonts w:cs="Arial"/>
                <w:bCs/>
                <w:sz w:val="20"/>
                <w:szCs w:val="20"/>
              </w:rPr>
              <w:t>bekannten und leicht zugänglichen Standort aufbewahrt?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62E3" w:rsidRPr="00E6698A" w14:paraId="665F6069" w14:textId="77777777" w:rsidTr="00AE6929">
        <w:tc>
          <w:tcPr>
            <w:tcW w:w="851" w:type="dxa"/>
            <w:vAlign w:val="center"/>
          </w:tcPr>
          <w:p w14:paraId="20893463" w14:textId="7E8B9699" w:rsidR="00C562E3" w:rsidRPr="004E00CE" w:rsidRDefault="00C562E3" w:rsidP="00C562E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6.04</w:t>
            </w:r>
          </w:p>
        </w:tc>
        <w:tc>
          <w:tcPr>
            <w:tcW w:w="6889" w:type="dxa"/>
            <w:vAlign w:val="center"/>
          </w:tcPr>
          <w:p w14:paraId="4AAB88A4" w14:textId="0F5DDE88" w:rsidR="00C562E3" w:rsidRPr="00E6698A" w:rsidRDefault="00C562E3" w:rsidP="00C562E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5728AA">
              <w:rPr>
                <w:rFonts w:cs="Arial"/>
                <w:bCs/>
                <w:sz w:val="20"/>
                <w:szCs w:val="20"/>
              </w:rPr>
              <w:t>Ist ein Alarmplan für den Notfall vorhanden und sichtbar ausgehängt?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62E3" w:rsidRPr="00E6698A" w14:paraId="3D7B32FE" w14:textId="77777777" w:rsidTr="00AE6929">
        <w:tc>
          <w:tcPr>
            <w:tcW w:w="851" w:type="dxa"/>
            <w:vAlign w:val="center"/>
          </w:tcPr>
          <w:p w14:paraId="740281E5" w14:textId="1F4CB4BD" w:rsidR="00C562E3" w:rsidRPr="004E00CE" w:rsidRDefault="00C562E3" w:rsidP="00C562E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6.05</w:t>
            </w:r>
          </w:p>
        </w:tc>
        <w:tc>
          <w:tcPr>
            <w:tcW w:w="6889" w:type="dxa"/>
            <w:vAlign w:val="center"/>
          </w:tcPr>
          <w:p w14:paraId="1F3E21A9" w14:textId="6673B07A" w:rsidR="00C562E3" w:rsidRPr="00E6698A" w:rsidRDefault="00C562E3" w:rsidP="00C562E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5728AA">
              <w:rPr>
                <w:rFonts w:cs="Arial"/>
                <w:bCs/>
                <w:sz w:val="20"/>
                <w:szCs w:val="20"/>
              </w:rPr>
              <w:t xml:space="preserve">Ist einer zum Praxisstandort nahe gelegener Durchgangsarzt bzw.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5728AA">
              <w:rPr>
                <w:rFonts w:cs="Arial"/>
                <w:bCs/>
                <w:sz w:val="20"/>
                <w:szCs w:val="20"/>
              </w:rPr>
              <w:t>nahe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728AA">
              <w:rPr>
                <w:rFonts w:cs="Arial"/>
                <w:bCs/>
                <w:sz w:val="20"/>
                <w:szCs w:val="20"/>
              </w:rPr>
              <w:t xml:space="preserve">gelegenes Krankenhaus oder BG-Unfallklinik z.B. im Alarmplan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5728AA">
              <w:rPr>
                <w:rFonts w:cs="Arial"/>
                <w:bCs/>
                <w:sz w:val="20"/>
                <w:szCs w:val="20"/>
              </w:rPr>
              <w:t>ersichtlich?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C562E3" w:rsidRPr="002A7D2E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62E3" w:rsidRPr="00E6698A" w14:paraId="6D980986" w14:textId="77777777" w:rsidTr="00AE6929">
        <w:tc>
          <w:tcPr>
            <w:tcW w:w="851" w:type="dxa"/>
            <w:vAlign w:val="center"/>
          </w:tcPr>
          <w:p w14:paraId="5F0350BB" w14:textId="5CBE70F4" w:rsidR="00C562E3" w:rsidRPr="004E00CE" w:rsidRDefault="00C562E3" w:rsidP="00C562E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6.06</w:t>
            </w:r>
          </w:p>
        </w:tc>
        <w:tc>
          <w:tcPr>
            <w:tcW w:w="6889" w:type="dxa"/>
            <w:vAlign w:val="center"/>
          </w:tcPr>
          <w:p w14:paraId="1D3D0714" w14:textId="7F463050" w:rsidR="00C562E3" w:rsidRPr="00E6698A" w:rsidRDefault="00C562E3" w:rsidP="00C562E3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5728AA">
              <w:rPr>
                <w:rFonts w:cs="Arial"/>
                <w:bCs/>
                <w:sz w:val="20"/>
                <w:szCs w:val="20"/>
              </w:rPr>
              <w:t>Ist sichergestellt, das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5728AA">
              <w:rPr>
                <w:rFonts w:cs="Arial"/>
                <w:bCs/>
                <w:sz w:val="20"/>
                <w:szCs w:val="20"/>
              </w:rPr>
              <w:t xml:space="preserve"> bei einer Arbeitsunfähigkeit von länger als 3 Tagen nach einem Arbeitsunfall bzw. Wegeunfall oder einem Unfall mit Todesfolge eine schriftliche Unfallanzeige an das zuständige Landratsamt und die BGW erfolgt?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0949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9454862" w14:textId="4764101B" w:rsidR="00C562E3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9397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F6A156" w14:textId="64CAB831" w:rsidR="00C562E3" w:rsidRDefault="00C562E3" w:rsidP="00C562E3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102EC9" w:rsidRPr="005D45E5" w14:paraId="522D448B" w14:textId="77777777" w:rsidTr="008830C7">
        <w:trPr>
          <w:trHeight w:val="1985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6246FE2F" w14:textId="77777777" w:rsidR="00102EC9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 w:rsidRPr="004E00CE">
              <w:rPr>
                <w:rFonts w:cs="Arial"/>
                <w:bCs/>
                <w:sz w:val="16"/>
                <w:szCs w:val="16"/>
              </w:rPr>
              <w:lastRenderedPageBreak/>
              <w:t>6.01</w:t>
            </w:r>
          </w:p>
          <w:p w14:paraId="7E48195A" w14:textId="77777777" w:rsidR="00102EC9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  <w:p w14:paraId="4E9B1F57" w14:textId="070F154D" w:rsidR="00102EC9" w:rsidRPr="002A7D2E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6.02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21A082A3" w14:textId="77777777" w:rsidR="00102EC9" w:rsidRPr="005728AA" w:rsidRDefault="00102EC9" w:rsidP="00102EC9">
            <w:pPr>
              <w:spacing w:before="40"/>
              <w:rPr>
                <w:rFonts w:cs="Arial"/>
                <w:b/>
                <w:sz w:val="20"/>
                <w:szCs w:val="20"/>
              </w:rPr>
            </w:pPr>
            <w:r w:rsidRPr="005728AA">
              <w:rPr>
                <w:rFonts w:cs="Arial"/>
                <w:b/>
                <w:sz w:val="20"/>
                <w:szCs w:val="20"/>
              </w:rPr>
              <w:t>Arbeitsunfall- Was ist zu tun?</w:t>
            </w:r>
          </w:p>
          <w:p w14:paraId="25C07AB0" w14:textId="77777777" w:rsidR="00102EC9" w:rsidRPr="005728AA" w:rsidRDefault="00102EC9" w:rsidP="00102EC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Ersthelfer (Zahnarzt) rufen und die notwendige Erstversorgung leisten.</w:t>
            </w:r>
          </w:p>
          <w:p w14:paraId="642F72C0" w14:textId="1E833474" w:rsidR="00102EC9" w:rsidRPr="005728AA" w:rsidRDefault="00102EC9" w:rsidP="00102EC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Bei schweren Verletzungen (z.B. Knochenbruch) Rettungsdienst rufen.</w:t>
            </w:r>
          </w:p>
          <w:p w14:paraId="0B520E2A" w14:textId="77777777" w:rsidR="00102EC9" w:rsidRPr="005728AA" w:rsidRDefault="00102EC9" w:rsidP="00102EC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Unfallverletzte müssen sich nach dem Unfall unverzüglich beim Durchgangsarzt (D-Arzt) vorstellen, wenn:</w:t>
            </w:r>
          </w:p>
          <w:p w14:paraId="65F60FA3" w14:textId="2A7FFE90" w:rsidR="00102EC9" w:rsidRPr="005728AA" w:rsidRDefault="00102EC9" w:rsidP="00102EC9">
            <w:pPr>
              <w:numPr>
                <w:ilvl w:val="1"/>
                <w:numId w:val="9"/>
              </w:numPr>
              <w:tabs>
                <w:tab w:val="clear" w:pos="1440"/>
                <w:tab w:val="num" w:pos="1134"/>
              </w:tabs>
              <w:ind w:left="1134" w:hanging="425"/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 xml:space="preserve">die Unfallverletzung über den Unfalltag hinaus zur Arbeitsunfähigkeit führt (zu den </w:t>
            </w:r>
            <w:r>
              <w:rPr>
                <w:sz w:val="20"/>
                <w:szCs w:val="20"/>
              </w:rPr>
              <w:br/>
            </w:r>
            <w:r w:rsidRPr="005728AA">
              <w:rPr>
                <w:sz w:val="20"/>
                <w:szCs w:val="20"/>
              </w:rPr>
              <w:t xml:space="preserve">häufigsten Unfallursachen in einer Zahnarztpraxis zählen Nadelstichverletzungen, Schnittverletzungen und Wegeunfälle), </w:t>
            </w:r>
          </w:p>
          <w:p w14:paraId="2BC2CAC4" w14:textId="77777777" w:rsidR="00102EC9" w:rsidRPr="005728AA" w:rsidRDefault="00102EC9" w:rsidP="00102EC9">
            <w:pPr>
              <w:numPr>
                <w:ilvl w:val="1"/>
                <w:numId w:val="9"/>
              </w:numPr>
              <w:tabs>
                <w:tab w:val="clear" w:pos="1440"/>
                <w:tab w:val="num" w:pos="1134"/>
              </w:tabs>
              <w:ind w:left="1134" w:hanging="425"/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 xml:space="preserve">die Unfallverletzung voraussichtlich länger als eine Woche ärztlich behandelt werden muss und er trotzdem arbeiten kann oder </w:t>
            </w:r>
          </w:p>
          <w:p w14:paraId="6AE97FEA" w14:textId="77777777" w:rsidR="00102EC9" w:rsidRPr="005728AA" w:rsidRDefault="00102EC9" w:rsidP="00102EC9">
            <w:pPr>
              <w:numPr>
                <w:ilvl w:val="1"/>
                <w:numId w:val="9"/>
              </w:numPr>
              <w:tabs>
                <w:tab w:val="clear" w:pos="1440"/>
                <w:tab w:val="num" w:pos="1134"/>
              </w:tabs>
              <w:ind w:left="1134" w:hanging="425"/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 xml:space="preserve">infolge eines Arbeitsunfalls eine Wiedererkrankung eintritt. </w:t>
            </w:r>
          </w:p>
          <w:p w14:paraId="1ADD357D" w14:textId="24973912" w:rsidR="00102EC9" w:rsidRPr="005728AA" w:rsidRDefault="00102EC9" w:rsidP="00102EC9">
            <w:pPr>
              <w:numPr>
                <w:ilvl w:val="1"/>
                <w:numId w:val="9"/>
              </w:numPr>
              <w:tabs>
                <w:tab w:val="clear" w:pos="1440"/>
                <w:tab w:val="num" w:pos="1080"/>
                <w:tab w:val="num" w:pos="1134"/>
              </w:tabs>
              <w:ind w:left="1134" w:hanging="425"/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Bitte beachten: Auf Grund des bestehenden Infektionsrisikos bei Nadelstich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Pr="005728AA">
              <w:rPr>
                <w:sz w:val="20"/>
                <w:szCs w:val="20"/>
              </w:rPr>
              <w:t>verletzungen (z.B. Behandlung von Infektionspatienten) ist auf jeden Fall der D-Arzt aufzusuchen.</w:t>
            </w:r>
          </w:p>
          <w:p w14:paraId="3359AB17" w14:textId="58753131" w:rsidR="00102EC9" w:rsidRPr="005728AA" w:rsidRDefault="00102EC9" w:rsidP="00102EC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 xml:space="preserve">Bei einem Gefahrstoff-Unfall sollten für den Notarzt bzw. für den Durchgangsarzt die </w:t>
            </w:r>
            <w:r>
              <w:rPr>
                <w:sz w:val="20"/>
                <w:szCs w:val="20"/>
              </w:rPr>
              <w:br/>
            </w:r>
            <w:r w:rsidRPr="005728AA">
              <w:rPr>
                <w:sz w:val="20"/>
                <w:szCs w:val="20"/>
              </w:rPr>
              <w:t>Sicherheitsdatenblätter mitgegeben werden.</w:t>
            </w:r>
          </w:p>
          <w:p w14:paraId="1205716B" w14:textId="22ED13D9" w:rsidR="00102EC9" w:rsidRPr="005728AA" w:rsidRDefault="00102EC9" w:rsidP="00102EC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Unfall- und Erste-Hilfe-Leistung sind in das Verbandbuch einzutragen.</w:t>
            </w:r>
          </w:p>
          <w:p w14:paraId="75DCC419" w14:textId="77777777" w:rsidR="00102EC9" w:rsidRPr="005728AA" w:rsidRDefault="00102EC9" w:rsidP="00102EC9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Unfallanzeige an die BGW und an das zuständige Landratsamt.</w:t>
            </w:r>
          </w:p>
          <w:p w14:paraId="315BF60F" w14:textId="77777777" w:rsidR="00102EC9" w:rsidRPr="005728AA" w:rsidRDefault="00102EC9" w:rsidP="00102EC9">
            <w:pPr>
              <w:rPr>
                <w:sz w:val="20"/>
                <w:szCs w:val="20"/>
              </w:rPr>
            </w:pPr>
          </w:p>
          <w:p w14:paraId="2FFB6468" w14:textId="77777777" w:rsidR="00102EC9" w:rsidRPr="005728AA" w:rsidRDefault="00102EC9" w:rsidP="00102EC9">
            <w:pPr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Die Beschäftigten sind über ihren Versicherungsschutz, das Vorgehen und das Verhalten im Falle eines Arbeitsunfalls zu unterweisen (Dokumentation).</w:t>
            </w:r>
          </w:p>
          <w:p w14:paraId="300E2672" w14:textId="7C1F26A6" w:rsidR="00102EC9" w:rsidRPr="00E6698A" w:rsidRDefault="00102EC9" w:rsidP="00102EC9">
            <w:pPr>
              <w:spacing w:before="20" w:after="20"/>
              <w:rPr>
                <w:bCs/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>Die Unterweisung ist vor Tätigkeitsaufnahme und anschließend regelmäßig einmal jährlich durch</w:t>
            </w:r>
            <w:r>
              <w:rPr>
                <w:sz w:val="20"/>
                <w:szCs w:val="20"/>
              </w:rPr>
              <w:t>-</w:t>
            </w:r>
            <w:r w:rsidRPr="005728AA">
              <w:rPr>
                <w:sz w:val="20"/>
                <w:szCs w:val="20"/>
              </w:rPr>
              <w:t>zuführen.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102EC9" w:rsidRPr="00910E06" w:rsidRDefault="000B3E43" w:rsidP="00102EC9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102EC9" w:rsidRPr="005D45E5" w14:paraId="58DD5DA9" w14:textId="77777777" w:rsidTr="00102EC9">
        <w:trPr>
          <w:trHeight w:val="1738"/>
        </w:trPr>
        <w:tc>
          <w:tcPr>
            <w:tcW w:w="851" w:type="dxa"/>
            <w:vAlign w:val="center"/>
          </w:tcPr>
          <w:p w14:paraId="7D19473B" w14:textId="61AF31D7" w:rsidR="00102EC9" w:rsidRPr="002A7D2E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</w:t>
            </w:r>
            <w:r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9072" w:type="dxa"/>
            <w:vAlign w:val="center"/>
          </w:tcPr>
          <w:p w14:paraId="4DCE8D81" w14:textId="725C7527" w:rsidR="00102EC9" w:rsidRPr="00E6698A" w:rsidRDefault="00102EC9" w:rsidP="00102EC9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5728AA">
              <w:rPr>
                <w:rFonts w:cs="Arial"/>
                <w:sz w:val="20"/>
                <w:szCs w:val="20"/>
                <w:lang w:bidi="or"/>
              </w:rPr>
              <w:t xml:space="preserve">Der Praxisinhaber hat dafür zu sorgen, dass jede Erste-Hilfe-Leistung dokumentiert und diese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5728AA">
              <w:rPr>
                <w:rFonts w:cs="Arial"/>
                <w:sz w:val="20"/>
                <w:szCs w:val="20"/>
                <w:lang w:bidi="or"/>
              </w:rPr>
              <w:t>Dokumentation fünf Jahre nach der letzten Eintragung verfügbar gehalten wird.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5728AA">
              <w:rPr>
                <w:rFonts w:cs="Arial"/>
                <w:sz w:val="20"/>
                <w:szCs w:val="20"/>
                <w:lang w:bidi="or"/>
              </w:rPr>
              <w:t xml:space="preserve">Die Dokumente sind vertraulich zu behandeln. Die Erste-Hilfe-Aufzeichnungen sollten in einem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5728AA">
              <w:rPr>
                <w:rFonts w:cs="Arial"/>
                <w:sz w:val="20"/>
                <w:szCs w:val="20"/>
                <w:lang w:bidi="or"/>
              </w:rPr>
              <w:t xml:space="preserve">Verbandbuch erfolgen. Das Verbandbuch sollte </w:t>
            </w:r>
            <w:r w:rsidRPr="005728AA">
              <w:rPr>
                <w:rFonts w:cs="Arial"/>
                <w:bCs/>
                <w:sz w:val="20"/>
                <w:szCs w:val="20"/>
              </w:rPr>
              <w:t xml:space="preserve">an einem allgemein bekannten und leicht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5728AA">
              <w:rPr>
                <w:rFonts w:cs="Arial"/>
                <w:bCs/>
                <w:sz w:val="20"/>
                <w:szCs w:val="20"/>
              </w:rPr>
              <w:t>zugänglichen Standort aufbewahrt</w:t>
            </w:r>
            <w:r w:rsidRPr="005728AA">
              <w:rPr>
                <w:rFonts w:cs="Arial"/>
                <w:sz w:val="20"/>
                <w:szCs w:val="20"/>
                <w:lang w:bidi="or"/>
              </w:rPr>
              <w:t xml:space="preserve"> werden. Praxismitarbeiter haben unverzüglich jeden Unfall dem </w:t>
            </w:r>
            <w:r>
              <w:rPr>
                <w:rFonts w:cs="Arial"/>
                <w:sz w:val="20"/>
                <w:szCs w:val="20"/>
                <w:lang w:bidi="or"/>
              </w:rPr>
              <w:t>Praxisinhaber</w:t>
            </w:r>
            <w:r w:rsidRPr="005728AA">
              <w:rPr>
                <w:rFonts w:cs="Arial"/>
                <w:sz w:val="20"/>
                <w:szCs w:val="20"/>
                <w:lang w:bidi="or"/>
              </w:rPr>
              <w:t xml:space="preserve"> zu melden; sind sie hierzu nicht im Stande, liegt die Meldepflicht bei der Kollegin, die von dem Unfall zuerst erfährt.</w:t>
            </w:r>
          </w:p>
        </w:tc>
        <w:tc>
          <w:tcPr>
            <w:tcW w:w="1276" w:type="dxa"/>
            <w:vAlign w:val="center"/>
          </w:tcPr>
          <w:p w14:paraId="08177D6F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102EC9" w:rsidRPr="00E6698A" w:rsidRDefault="000B3E43" w:rsidP="00102EC9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15C87A27" w14:textId="77777777" w:rsidR="00102EC9" w:rsidRDefault="00102EC9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102EC9" w:rsidRPr="005D45E5" w14:paraId="5A12ED24" w14:textId="77777777" w:rsidTr="006172B6">
        <w:trPr>
          <w:trHeight w:val="840"/>
        </w:trPr>
        <w:tc>
          <w:tcPr>
            <w:tcW w:w="851" w:type="dxa"/>
            <w:vAlign w:val="center"/>
          </w:tcPr>
          <w:p w14:paraId="66EB0318" w14:textId="60075EB0" w:rsidR="00102EC9" w:rsidRPr="002A7D2E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lastRenderedPageBreak/>
              <w:t>6.0</w:t>
            </w:r>
            <w:r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9072" w:type="dxa"/>
            <w:vAlign w:val="center"/>
          </w:tcPr>
          <w:p w14:paraId="60E298D7" w14:textId="2B3033F2" w:rsidR="00102EC9" w:rsidRPr="00E6698A" w:rsidRDefault="00102EC9" w:rsidP="00102EC9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5728AA">
              <w:rPr>
                <w:rFonts w:cs="Arial"/>
                <w:sz w:val="20"/>
                <w:szCs w:val="20"/>
                <w:lang w:bidi="or"/>
              </w:rPr>
              <w:t xml:space="preserve">Der Zahnarzt hat dafür zu sorgen, dass den Versicherten in geeigneter schriftlicher Form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5728AA">
              <w:rPr>
                <w:rFonts w:cs="Arial"/>
                <w:sz w:val="20"/>
                <w:szCs w:val="20"/>
                <w:lang w:bidi="or"/>
              </w:rPr>
              <w:t xml:space="preserve">(z.B. Alarmplan für den Notfall) Hinweise über die Erste Hilfe und Angaben über Notruf, Erste-Hilfe- und Rettungs-Einrichtungen, über das Erste-Hilfe-Personal sowie über herbeizuziehende Ärzte und anzufahrende Krankenhäuser gemacht werden. Die Hinweise und die Angaben sind aktuell zu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5728AA">
              <w:rPr>
                <w:rFonts w:cs="Arial"/>
                <w:sz w:val="20"/>
                <w:szCs w:val="20"/>
                <w:lang w:bidi="or"/>
              </w:rPr>
              <w:t>halten.</w:t>
            </w:r>
          </w:p>
        </w:tc>
        <w:tc>
          <w:tcPr>
            <w:tcW w:w="1276" w:type="dxa"/>
            <w:vAlign w:val="center"/>
          </w:tcPr>
          <w:p w14:paraId="700E6A3C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102EC9" w:rsidRPr="00E6698A" w:rsidRDefault="000B3E43" w:rsidP="00102EC9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02EC9" w:rsidRPr="005D45E5" w14:paraId="657C2694" w14:textId="77777777" w:rsidTr="001E12C6">
        <w:trPr>
          <w:trHeight w:val="558"/>
        </w:trPr>
        <w:tc>
          <w:tcPr>
            <w:tcW w:w="851" w:type="dxa"/>
            <w:vAlign w:val="center"/>
          </w:tcPr>
          <w:p w14:paraId="1D62F0B0" w14:textId="1BC0EE75" w:rsidR="00102EC9" w:rsidRPr="002A7D2E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9072" w:type="dxa"/>
            <w:vAlign w:val="center"/>
          </w:tcPr>
          <w:p w14:paraId="77B85D8F" w14:textId="7345A679" w:rsidR="00102EC9" w:rsidRPr="00E6698A" w:rsidRDefault="00102EC9" w:rsidP="00102EC9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5728AA">
              <w:rPr>
                <w:sz w:val="20"/>
                <w:szCs w:val="20"/>
              </w:rPr>
              <w:t xml:space="preserve">Auf dem Alarmplan für den Notfall </w:t>
            </w:r>
            <w:r w:rsidRPr="005728AA">
              <w:rPr>
                <w:rFonts w:cs="Arial"/>
                <w:sz w:val="20"/>
                <w:szCs w:val="20"/>
                <w:lang w:bidi="or"/>
              </w:rPr>
              <w:t>sollte einer zum Praxisstandort nahegelegener Durchgangsarzt und das nächstgelegene Krankenhaus mit unfallchirurgischer Versorgung eingetragen sein.</w:t>
            </w:r>
          </w:p>
        </w:tc>
        <w:tc>
          <w:tcPr>
            <w:tcW w:w="1276" w:type="dxa"/>
            <w:vAlign w:val="center"/>
          </w:tcPr>
          <w:p w14:paraId="76EA3E0B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102EC9" w:rsidRPr="00E6698A" w:rsidRDefault="000B3E43" w:rsidP="00102EC9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02EC9" w:rsidRPr="005D45E5" w14:paraId="736E2F3D" w14:textId="77777777" w:rsidTr="00102EC9">
        <w:trPr>
          <w:trHeight w:val="1873"/>
        </w:trPr>
        <w:tc>
          <w:tcPr>
            <w:tcW w:w="851" w:type="dxa"/>
            <w:vAlign w:val="center"/>
          </w:tcPr>
          <w:p w14:paraId="3791332D" w14:textId="42370CC8" w:rsidR="00102EC9" w:rsidRPr="002A7D2E" w:rsidRDefault="00102EC9" w:rsidP="00102EC9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E00CE">
              <w:rPr>
                <w:rFonts w:cs="Arial"/>
                <w:bCs/>
                <w:sz w:val="16"/>
                <w:szCs w:val="16"/>
              </w:rPr>
              <w:t>6.0</w:t>
            </w:r>
            <w:r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9072" w:type="dxa"/>
            <w:vAlign w:val="center"/>
          </w:tcPr>
          <w:p w14:paraId="318E80A4" w14:textId="5B77E8F8" w:rsidR="00102EC9" w:rsidRPr="005728AA" w:rsidRDefault="00102EC9" w:rsidP="00102EC9">
            <w:pPr>
              <w:spacing w:before="40" w:after="40"/>
              <w:rPr>
                <w:sz w:val="20"/>
                <w:szCs w:val="20"/>
              </w:rPr>
            </w:pPr>
            <w:r w:rsidRPr="005728AA">
              <w:rPr>
                <w:sz w:val="20"/>
                <w:szCs w:val="20"/>
              </w:rPr>
              <w:t xml:space="preserve">Bei einer Arbeitsunfähigkeit von länger als drei Tagen nach einem Arbeitsunfall bzw. einem Wegeunfall oder einem Unfall mit Todesfolge muss eine Meldung an die </w:t>
            </w:r>
            <w:r w:rsidRPr="00102EC9">
              <w:rPr>
                <w:sz w:val="20"/>
                <w:szCs w:val="20"/>
              </w:rPr>
              <w:t>BGW</w:t>
            </w:r>
            <w:r w:rsidRPr="005728AA">
              <w:rPr>
                <w:sz w:val="20"/>
                <w:szCs w:val="20"/>
              </w:rPr>
              <w:t xml:space="preserve"> (2 Ausfertigungen) und an das zuständige Landratsamt (1 Ausfertigung) erfolgen. </w:t>
            </w:r>
          </w:p>
          <w:p w14:paraId="42E9E746" w14:textId="77777777" w:rsidR="00102EC9" w:rsidRPr="005728AA" w:rsidRDefault="00102EC9" w:rsidP="00102EC9">
            <w:pPr>
              <w:spacing w:before="40" w:after="40"/>
              <w:rPr>
                <w:sz w:val="20"/>
                <w:szCs w:val="20"/>
              </w:rPr>
            </w:pPr>
          </w:p>
          <w:p w14:paraId="58650DBA" w14:textId="104858C1" w:rsidR="00102EC9" w:rsidRPr="00E6698A" w:rsidRDefault="00102EC9" w:rsidP="00102EC9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5728AA">
              <w:rPr>
                <w:sz w:val="20"/>
                <w:szCs w:val="20"/>
              </w:rPr>
              <w:t xml:space="preserve">Bei einem tödlichen Unfall hat eine Meldung zusätzlich auch an die Ortspolizei zu erfolgen. Über einen tödlichen Unfall müssen Berufsgenossenschaft und zuständiges Landratsamt sofort </w:t>
            </w:r>
            <w:r>
              <w:rPr>
                <w:sz w:val="20"/>
                <w:szCs w:val="20"/>
              </w:rPr>
              <w:br/>
            </w:r>
            <w:r w:rsidRPr="005728AA">
              <w:rPr>
                <w:sz w:val="20"/>
                <w:szCs w:val="20"/>
              </w:rPr>
              <w:t>fernmündlich informiert werden.</w:t>
            </w:r>
          </w:p>
        </w:tc>
        <w:tc>
          <w:tcPr>
            <w:tcW w:w="1276" w:type="dxa"/>
            <w:vAlign w:val="center"/>
          </w:tcPr>
          <w:p w14:paraId="37CC843E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102EC9" w:rsidRPr="00E6698A" w:rsidRDefault="00102EC9" w:rsidP="00102EC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102EC9" w:rsidRPr="00E6698A" w:rsidRDefault="000B3E43" w:rsidP="00102EC9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r w:rsidR="00102EC9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C9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02EC9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04D0FE74" w14:textId="77777777" w:rsidR="003B7F1D" w:rsidRDefault="003B7F1D" w:rsidP="00520AA5">
      <w:pPr>
        <w:jc w:val="both"/>
      </w:pPr>
    </w:p>
    <w:sectPr w:rsidR="003B7F1D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6B603C08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0B3E43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4E00CE" w:rsidRPr="004E00CE">
      <w:rPr>
        <w:sz w:val="20"/>
        <w:szCs w:val="20"/>
      </w:rPr>
      <w:t>Arbeitsunfall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1AEAADE3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0B3E43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4E00CE" w:rsidRPr="004E00CE">
      <w:rPr>
        <w:sz w:val="20"/>
        <w:szCs w:val="20"/>
      </w:rPr>
      <w:t>Arbeitsunfall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4E00CE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7F800C6C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4E00CE" w:rsidRPr="004E00CE">
            <w:rPr>
              <w:b/>
              <w:sz w:val="28"/>
            </w:rPr>
            <w:t xml:space="preserve">Arbeitsunfall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313C9"/>
    <w:multiLevelType w:val="hybridMultilevel"/>
    <w:tmpl w:val="91866E16"/>
    <w:lvl w:ilvl="0" w:tplc="AF10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012210"/>
    <w:multiLevelType w:val="hybridMultilevel"/>
    <w:tmpl w:val="06983AAA"/>
    <w:lvl w:ilvl="0" w:tplc="AF106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AB8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8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6"/>
  </w:num>
  <w:num w:numId="6" w16cid:durableId="1332954129">
    <w:abstractNumId w:val="7"/>
  </w:num>
  <w:num w:numId="7" w16cid:durableId="205143293">
    <w:abstractNumId w:val="2"/>
  </w:num>
  <w:num w:numId="8" w16cid:durableId="1361125598">
    <w:abstractNumId w:val="4"/>
  </w:num>
  <w:num w:numId="9" w16cid:durableId="223488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3E43"/>
    <w:rsid w:val="000B4237"/>
    <w:rsid w:val="000B4B67"/>
    <w:rsid w:val="000C25DF"/>
    <w:rsid w:val="000D7BA8"/>
    <w:rsid w:val="000D7D13"/>
    <w:rsid w:val="000F0E3D"/>
    <w:rsid w:val="00102EC9"/>
    <w:rsid w:val="00103132"/>
    <w:rsid w:val="00106554"/>
    <w:rsid w:val="0011347A"/>
    <w:rsid w:val="00114BE2"/>
    <w:rsid w:val="00126FC2"/>
    <w:rsid w:val="00141ABB"/>
    <w:rsid w:val="00141D01"/>
    <w:rsid w:val="001433E2"/>
    <w:rsid w:val="00157D49"/>
    <w:rsid w:val="00157E7D"/>
    <w:rsid w:val="001635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4ABD"/>
    <w:rsid w:val="001F6927"/>
    <w:rsid w:val="00204249"/>
    <w:rsid w:val="00223211"/>
    <w:rsid w:val="0022575A"/>
    <w:rsid w:val="00227330"/>
    <w:rsid w:val="00230E8A"/>
    <w:rsid w:val="002337FA"/>
    <w:rsid w:val="0023476F"/>
    <w:rsid w:val="002363CF"/>
    <w:rsid w:val="00246C41"/>
    <w:rsid w:val="00253762"/>
    <w:rsid w:val="00254D0E"/>
    <w:rsid w:val="00261E1A"/>
    <w:rsid w:val="00261FD9"/>
    <w:rsid w:val="002667E5"/>
    <w:rsid w:val="002677C5"/>
    <w:rsid w:val="002775E5"/>
    <w:rsid w:val="002A0563"/>
    <w:rsid w:val="002A0CBE"/>
    <w:rsid w:val="002A42AF"/>
    <w:rsid w:val="002A7D2E"/>
    <w:rsid w:val="002B3EE0"/>
    <w:rsid w:val="002C3CCE"/>
    <w:rsid w:val="002C76C3"/>
    <w:rsid w:val="002F4C97"/>
    <w:rsid w:val="002F5E2F"/>
    <w:rsid w:val="002F66B9"/>
    <w:rsid w:val="002F7769"/>
    <w:rsid w:val="0030069A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00CE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7C81"/>
    <w:rsid w:val="00611C7A"/>
    <w:rsid w:val="0061606B"/>
    <w:rsid w:val="00665BDB"/>
    <w:rsid w:val="00691532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ED4"/>
    <w:rsid w:val="00817905"/>
    <w:rsid w:val="00823D76"/>
    <w:rsid w:val="0083078A"/>
    <w:rsid w:val="00833024"/>
    <w:rsid w:val="00852A03"/>
    <w:rsid w:val="00854C57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57E5B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B06FB"/>
    <w:rsid w:val="00AC2A3E"/>
    <w:rsid w:val="00AC651A"/>
    <w:rsid w:val="00AD5AEB"/>
    <w:rsid w:val="00AD6BA0"/>
    <w:rsid w:val="00AF63CB"/>
    <w:rsid w:val="00AF79DC"/>
    <w:rsid w:val="00B11DB4"/>
    <w:rsid w:val="00B20601"/>
    <w:rsid w:val="00B22F3E"/>
    <w:rsid w:val="00B313C8"/>
    <w:rsid w:val="00B320F0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562E3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642B"/>
    <w:rsid w:val="00EF7C39"/>
    <w:rsid w:val="00F06B06"/>
    <w:rsid w:val="00F12941"/>
    <w:rsid w:val="00F220F2"/>
    <w:rsid w:val="00F25D21"/>
    <w:rsid w:val="00F57746"/>
    <w:rsid w:val="00F63355"/>
    <w:rsid w:val="00F77BFA"/>
    <w:rsid w:val="00F90919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5</cp:revision>
  <cp:lastPrinted>2025-07-30T06:32:00Z</cp:lastPrinted>
  <dcterms:created xsi:type="dcterms:W3CDTF">2025-07-31T06:00:00Z</dcterms:created>
  <dcterms:modified xsi:type="dcterms:W3CDTF">2025-08-01T11:01:00Z</dcterms:modified>
</cp:coreProperties>
</file>