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F5FFC52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2E681BDA" w:rsidR="000341A2" w:rsidRPr="000F4B02" w:rsidRDefault="006335BD" w:rsidP="00261FD9">
      <w:pPr>
        <w:jc w:val="center"/>
        <w:rPr>
          <w:rFonts w:cs="Arial"/>
          <w:b/>
          <w:sz w:val="26"/>
          <w:szCs w:val="26"/>
        </w:rPr>
      </w:pPr>
      <w:r w:rsidRPr="006335BD">
        <w:rPr>
          <w:b/>
          <w:sz w:val="26"/>
        </w:rPr>
        <w:t xml:space="preserve">Praxislabor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596A33" w:rsidRPr="00E6698A" w14:paraId="40463164" w14:textId="77777777" w:rsidTr="009F29FA">
        <w:tc>
          <w:tcPr>
            <w:tcW w:w="851" w:type="dxa"/>
            <w:vAlign w:val="center"/>
          </w:tcPr>
          <w:p w14:paraId="5DA93BEA" w14:textId="4B78F0EB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23.01</w:t>
            </w:r>
          </w:p>
        </w:tc>
        <w:tc>
          <w:tcPr>
            <w:tcW w:w="6889" w:type="dxa"/>
            <w:vAlign w:val="center"/>
          </w:tcPr>
          <w:p w14:paraId="406C5893" w14:textId="2E963501" w:rsidR="00596A33" w:rsidRPr="00E6698A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Ist sichergestellt, dass die Abformungen und zahntechnischen Werkstücke keine infektionsgefährdenden Kontaminationen aufweisen?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43441B69" w14:textId="77777777" w:rsidTr="009F29FA">
        <w:tc>
          <w:tcPr>
            <w:tcW w:w="851" w:type="dxa"/>
            <w:vAlign w:val="center"/>
          </w:tcPr>
          <w:p w14:paraId="5FE1AA95" w14:textId="3C6301B1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23.02</w:t>
            </w:r>
          </w:p>
        </w:tc>
        <w:tc>
          <w:tcPr>
            <w:tcW w:w="6889" w:type="dxa"/>
            <w:vAlign w:val="center"/>
          </w:tcPr>
          <w:p w14:paraId="6F5A0D7D" w14:textId="537C404D" w:rsidR="00596A33" w:rsidRPr="00E6698A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Wird sichergestellt, dass die Dämpfe aus Brennöfen nicht unkontrolliert in die Praxisräume gelangen können?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14ABDEA6" w14:textId="77777777" w:rsidTr="009F29FA">
        <w:tc>
          <w:tcPr>
            <w:tcW w:w="851" w:type="dxa"/>
            <w:vAlign w:val="center"/>
          </w:tcPr>
          <w:p w14:paraId="26DC576C" w14:textId="0EBD3AE9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23.03</w:t>
            </w:r>
          </w:p>
        </w:tc>
        <w:tc>
          <w:tcPr>
            <w:tcW w:w="6889" w:type="dxa"/>
            <w:vAlign w:val="center"/>
          </w:tcPr>
          <w:p w14:paraId="6E12A0A0" w14:textId="47BA5ABA" w:rsidR="00596A33" w:rsidRPr="00E6698A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Werden beim Umgang mit dem Brennofen technische Hilfsmittel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(z.B. Muffelzange) und persönliche Schutzausrüstung benutzt?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665F6069" w14:textId="77777777" w:rsidTr="009F29FA">
        <w:tc>
          <w:tcPr>
            <w:tcW w:w="851" w:type="dxa"/>
            <w:vAlign w:val="center"/>
          </w:tcPr>
          <w:p w14:paraId="20893463" w14:textId="1C5B42BA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23.04</w:t>
            </w:r>
          </w:p>
        </w:tc>
        <w:tc>
          <w:tcPr>
            <w:tcW w:w="6889" w:type="dxa"/>
            <w:vAlign w:val="center"/>
          </w:tcPr>
          <w:p w14:paraId="4AAB88A4" w14:textId="0EC1BC99" w:rsidR="00596A33" w:rsidRPr="00E6698A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die z.B. bei der Bearbeitung von Gussobjekten oder Keramiken entstehenden Stäube wirksam abgesaugt (Tischabsaugung) und werden diese Absaugungen regelmäßig, d.h. mindestens einmal jährlich einer Funktionsprüfung unterzogen?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3D7B32FE" w14:textId="77777777" w:rsidTr="009F29FA">
        <w:tc>
          <w:tcPr>
            <w:tcW w:w="851" w:type="dxa"/>
            <w:vAlign w:val="center"/>
          </w:tcPr>
          <w:p w14:paraId="740281E5" w14:textId="5F7A9CFB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23.05</w:t>
            </w:r>
          </w:p>
        </w:tc>
        <w:tc>
          <w:tcPr>
            <w:tcW w:w="6889" w:type="dxa"/>
            <w:vAlign w:val="center"/>
          </w:tcPr>
          <w:p w14:paraId="1F3E21A9" w14:textId="2DC39B68" w:rsidR="00596A33" w:rsidRPr="00E6698A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bei spanabhebenden Verfahren (z.B. das Bearbeiten von Modellgussobjekten) zuerst technische Schutzmaßnahmen (z.B. Tischabsaugung mit Plexiglasschutzscheibe gegen wegfliegende Stäube) umgesetzt?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596A33" w:rsidRPr="002A7D2E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308EA772" w14:textId="77777777" w:rsidTr="009F29FA">
        <w:tc>
          <w:tcPr>
            <w:tcW w:w="851" w:type="dxa"/>
            <w:vAlign w:val="center"/>
          </w:tcPr>
          <w:p w14:paraId="408565CB" w14:textId="5A15F382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23.06</w:t>
            </w:r>
          </w:p>
        </w:tc>
        <w:tc>
          <w:tcPr>
            <w:tcW w:w="6889" w:type="dxa"/>
            <w:vAlign w:val="center"/>
          </w:tcPr>
          <w:p w14:paraId="589EEECB" w14:textId="07A8FB67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Wird das Strahlen von Gussobjekten nur in geschlossenen Strahlgeräten durchgeführt? Werden lediglich Strahlmittel eingesetzt, die keine freie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kristalline Kieselsäure (z.B. Edelkorund, Glasperlen, Mullit) enthalten?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6CE4FFD5" w14:textId="77777777" w:rsidTr="009F29FA">
        <w:tc>
          <w:tcPr>
            <w:tcW w:w="851" w:type="dxa"/>
            <w:vAlign w:val="center"/>
          </w:tcPr>
          <w:p w14:paraId="250AC171" w14:textId="7E401328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23.07</w:t>
            </w:r>
          </w:p>
        </w:tc>
        <w:tc>
          <w:tcPr>
            <w:tcW w:w="6889" w:type="dxa"/>
            <w:vAlign w:val="center"/>
          </w:tcPr>
          <w:p w14:paraId="28ABC4EC" w14:textId="1BD4C22C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Kommen bei den edelmetallfreien Aufbrennkeramiken und Stahl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legierungen (Modellgusslegierungen) nur berylliumfreie </w:t>
            </w:r>
            <w:r w:rsidR="006A43B2">
              <w:rPr>
                <w:rFonts w:cs="Arial"/>
                <w:bCs/>
                <w:sz w:val="20"/>
                <w:szCs w:val="20"/>
              </w:rPr>
              <w:t xml:space="preserve">Produkte </w:t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zum </w:t>
            </w:r>
            <w:r w:rsidR="006A43B2"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Einsatz?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364D2071" w14:textId="77777777" w:rsidTr="009F29FA">
        <w:tc>
          <w:tcPr>
            <w:tcW w:w="851" w:type="dxa"/>
            <w:vAlign w:val="center"/>
          </w:tcPr>
          <w:p w14:paraId="3809D1B7" w14:textId="5C810168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23.08</w:t>
            </w:r>
          </w:p>
        </w:tc>
        <w:tc>
          <w:tcPr>
            <w:tcW w:w="6889" w:type="dxa"/>
            <w:vAlign w:val="center"/>
          </w:tcPr>
          <w:p w14:paraId="6BBF2EF9" w14:textId="702A53D1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im Praxislabor Kunststoffe verarbeitet? Sind die Sicherheits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datenblätter für die verwendeten Kunststoffe der Hersteller vorhanden und werden die dort genannten Schutzmaßnahmen eingehalten?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3118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79E9F7" w14:textId="2AB7A05B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2139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11649A" w14:textId="3B586C11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045C4C45" w14:textId="77777777" w:rsidTr="009F29FA">
        <w:tc>
          <w:tcPr>
            <w:tcW w:w="851" w:type="dxa"/>
            <w:vAlign w:val="center"/>
          </w:tcPr>
          <w:p w14:paraId="1D4E2FA0" w14:textId="4D6C653D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23.09</w:t>
            </w:r>
          </w:p>
        </w:tc>
        <w:tc>
          <w:tcPr>
            <w:tcW w:w="6889" w:type="dxa"/>
            <w:vAlign w:val="center"/>
          </w:tcPr>
          <w:p w14:paraId="5B85DD4C" w14:textId="74847797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Wird im Praxislabor mit Gefahrstoffen umgegangen, siehe Vorgehensweise in der Gefährdungsbeurteilung „Gefahrstoffe“.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0483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879416" w14:textId="421DC403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36765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48E3EA" w14:textId="20816EB0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3A1FEACA" w14:textId="77777777" w:rsidTr="009F29FA">
        <w:tc>
          <w:tcPr>
            <w:tcW w:w="851" w:type="dxa"/>
            <w:vAlign w:val="center"/>
          </w:tcPr>
          <w:p w14:paraId="6630A1D8" w14:textId="64B1BEE8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23.10</w:t>
            </w:r>
          </w:p>
        </w:tc>
        <w:tc>
          <w:tcPr>
            <w:tcW w:w="6889" w:type="dxa"/>
            <w:vAlign w:val="center"/>
          </w:tcPr>
          <w:p w14:paraId="72BDB9F3" w14:textId="332CC939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Werden die geltenden Sicherheitsmaßnahmen bei Tätigkeiten mit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Flüssiggas für Bunsenbrenner (Lagerung, Anschlüsse, Schlauch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verbindungen, etc.) eingehalten?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0905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93A15A" w14:textId="540B22D1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031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A1E020" w14:textId="2D45A152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697DD6D1" w14:textId="77777777" w:rsidTr="009F29FA">
        <w:tc>
          <w:tcPr>
            <w:tcW w:w="851" w:type="dxa"/>
            <w:vAlign w:val="center"/>
          </w:tcPr>
          <w:p w14:paraId="45DA206F" w14:textId="1B3821CF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23.11</w:t>
            </w:r>
          </w:p>
        </w:tc>
        <w:tc>
          <w:tcPr>
            <w:tcW w:w="6889" w:type="dxa"/>
            <w:vAlign w:val="center"/>
          </w:tcPr>
          <w:p w14:paraId="5C1B217B" w14:textId="526F7570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Wird vom Praxisinhaber die entsprechende persönliche Schutzausrüstung in ausreichender Anzahl bereitgestellt?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33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E05FC0" w14:textId="46059AF6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708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C60A17" w14:textId="245F20E3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6FE6BA33" w14:textId="77777777" w:rsidTr="009F29FA">
        <w:tc>
          <w:tcPr>
            <w:tcW w:w="851" w:type="dxa"/>
            <w:vAlign w:val="center"/>
          </w:tcPr>
          <w:p w14:paraId="71D10865" w14:textId="6A8A48AF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23.12</w:t>
            </w:r>
          </w:p>
        </w:tc>
        <w:tc>
          <w:tcPr>
            <w:tcW w:w="6889" w:type="dxa"/>
            <w:vAlign w:val="center"/>
          </w:tcPr>
          <w:p w14:paraId="7B3BF1F0" w14:textId="5E3AAA81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Wird die bereitgestellte persönliche Schutzausrüstung (Augenschutz, Schutzhandschuhe, evtl. Schutzschürze/Schutzkleidung) von den Praxis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labormitarbeitern bei bestehenden Gefährdungen benutzt und wird die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Benutzung überwacht?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4117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BD9014" w14:textId="1D583631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8877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4D2DE7" w14:textId="5C23C5AC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4C326D1E" w14:textId="77777777" w:rsidTr="009F29FA">
        <w:tc>
          <w:tcPr>
            <w:tcW w:w="851" w:type="dxa"/>
            <w:vAlign w:val="center"/>
          </w:tcPr>
          <w:p w14:paraId="0200020F" w14:textId="3D64C5F4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23.13</w:t>
            </w:r>
          </w:p>
        </w:tc>
        <w:tc>
          <w:tcPr>
            <w:tcW w:w="6889" w:type="dxa"/>
            <w:vAlign w:val="center"/>
          </w:tcPr>
          <w:p w14:paraId="555BA73B" w14:textId="3AC7A146" w:rsidR="00596A33" w:rsidRPr="00342515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Sind die entsprechenden Hygiene-Voraussetzungen (z.B. Handwaschplatz mit kaltem/warmem Wasser, Seifen</w:t>
            </w:r>
            <w:r>
              <w:rPr>
                <w:rFonts w:cs="Arial"/>
                <w:bCs/>
                <w:sz w:val="20"/>
                <w:szCs w:val="20"/>
              </w:rPr>
              <w:t>- und Händedesinfektionsmittel</w:t>
            </w:r>
            <w:r w:rsidRPr="00CC0730">
              <w:rPr>
                <w:rFonts w:cs="Arial"/>
                <w:bCs/>
                <w:sz w:val="20"/>
                <w:szCs w:val="20"/>
              </w:rPr>
              <w:t>spender, Handtücher zum einmaligen Gebrauch, Abwurfeimer, etc.) erfüllt?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96010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2B5B9A" w14:textId="3A9EBED6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005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65F344" w14:textId="50BA24C2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300C1052" w14:textId="77777777" w:rsidTr="009F29FA">
        <w:tc>
          <w:tcPr>
            <w:tcW w:w="851" w:type="dxa"/>
            <w:vAlign w:val="center"/>
          </w:tcPr>
          <w:p w14:paraId="749026E5" w14:textId="64B5027E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23.14</w:t>
            </w:r>
          </w:p>
        </w:tc>
        <w:tc>
          <w:tcPr>
            <w:tcW w:w="6889" w:type="dxa"/>
            <w:vAlign w:val="center"/>
          </w:tcPr>
          <w:p w14:paraId="593123D0" w14:textId="489CCA49" w:rsidR="00596A33" w:rsidRPr="00A73FFC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Stehen den Praxismitarbeitern Händedesinfektionsmittel und Hautschutz- und Hautpflegemittel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4143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37CFE2" w14:textId="56D0A361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91165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12EEB76" w14:textId="1D189B47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534EBE77" w14:textId="77777777" w:rsidTr="009F29FA">
        <w:tc>
          <w:tcPr>
            <w:tcW w:w="851" w:type="dxa"/>
            <w:vAlign w:val="center"/>
          </w:tcPr>
          <w:p w14:paraId="57B2E261" w14:textId="631EDEFE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23.15</w:t>
            </w:r>
          </w:p>
        </w:tc>
        <w:tc>
          <w:tcPr>
            <w:tcW w:w="6889" w:type="dxa"/>
            <w:vAlign w:val="center"/>
          </w:tcPr>
          <w:p w14:paraId="04A38F5D" w14:textId="12BF999A" w:rsidR="00596A33" w:rsidRPr="00A73FFC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Wenn die Art der Tätigkeit hygienische Händedesinfektion erfordert, wird darauf geachtet, dass an den Händen und Unterarmen keine Schmuck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stücke, Uhren und Eheringe getragen werden?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203726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BF9A63" w14:textId="32457806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5469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9272E5" w14:textId="7F46E7C4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A33" w:rsidRPr="00E6698A" w14:paraId="60B14693" w14:textId="77777777" w:rsidTr="009F29FA">
        <w:tc>
          <w:tcPr>
            <w:tcW w:w="851" w:type="dxa"/>
            <w:vAlign w:val="center"/>
          </w:tcPr>
          <w:p w14:paraId="6AE454AC" w14:textId="4BB06BB9" w:rsidR="00596A33" w:rsidRPr="006335BD" w:rsidRDefault="00596A33" w:rsidP="00596A33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23.16</w:t>
            </w:r>
          </w:p>
        </w:tc>
        <w:tc>
          <w:tcPr>
            <w:tcW w:w="6889" w:type="dxa"/>
            <w:vAlign w:val="center"/>
          </w:tcPr>
          <w:p w14:paraId="54912B84" w14:textId="5B745FDE" w:rsidR="00596A33" w:rsidRPr="00A73FFC" w:rsidRDefault="00596A33" w:rsidP="00596A3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die Beschäftigungsbeschränkungen für Jugendliche und werdende und stillende Mütter beachtet?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52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3F497B" w14:textId="5241689B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8909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F2EE6A" w14:textId="51836216" w:rsidR="00596A33" w:rsidRDefault="00596A33" w:rsidP="00596A3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Default="00977F73" w:rsidP="00977F73">
      <w:pPr>
        <w:jc w:val="both"/>
        <w:rPr>
          <w:sz w:val="20"/>
          <w:szCs w:val="20"/>
        </w:rPr>
      </w:pPr>
    </w:p>
    <w:p w14:paraId="3FA062D1" w14:textId="77777777" w:rsidR="00512DD3" w:rsidRDefault="00512DD3" w:rsidP="00977F73">
      <w:pPr>
        <w:jc w:val="both"/>
        <w:rPr>
          <w:sz w:val="20"/>
          <w:szCs w:val="20"/>
        </w:rPr>
      </w:pPr>
    </w:p>
    <w:p w14:paraId="06A6689A" w14:textId="77777777" w:rsidR="00512DD3" w:rsidRDefault="00512DD3" w:rsidP="00977F73">
      <w:pPr>
        <w:jc w:val="both"/>
        <w:rPr>
          <w:sz w:val="20"/>
          <w:szCs w:val="20"/>
        </w:rPr>
        <w:sectPr w:rsidR="00512DD3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p w14:paraId="53BCC007" w14:textId="77777777" w:rsidR="00DF2E10" w:rsidRPr="000F4B02" w:rsidRDefault="00DF2E10" w:rsidP="00DF2E10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Gefährdungsbeurteilung</w:t>
      </w:r>
    </w:p>
    <w:p w14:paraId="0B1FAF9A" w14:textId="77777777" w:rsidR="00DF2E10" w:rsidRPr="000F4B02" w:rsidRDefault="00DF2E10" w:rsidP="00DF2E10">
      <w:pPr>
        <w:jc w:val="center"/>
        <w:rPr>
          <w:rFonts w:cs="Arial"/>
          <w:b/>
          <w:sz w:val="24"/>
          <w:szCs w:val="24"/>
          <w:u w:val="single"/>
        </w:rPr>
      </w:pPr>
    </w:p>
    <w:p w14:paraId="59A05F5D" w14:textId="77777777" w:rsidR="00DF2E10" w:rsidRPr="000F4B02" w:rsidRDefault="00DF2E10" w:rsidP="00DF2E10">
      <w:pPr>
        <w:jc w:val="center"/>
        <w:rPr>
          <w:rFonts w:cs="Arial"/>
          <w:b/>
          <w:sz w:val="26"/>
          <w:szCs w:val="26"/>
        </w:rPr>
      </w:pPr>
      <w:r w:rsidRPr="006335BD">
        <w:rPr>
          <w:b/>
          <w:sz w:val="26"/>
        </w:rPr>
        <w:t xml:space="preserve">Praxislabor </w:t>
      </w:r>
      <w:r>
        <w:rPr>
          <w:rFonts w:cs="Arial"/>
          <w:b/>
          <w:sz w:val="26"/>
          <w:szCs w:val="26"/>
        </w:rPr>
        <w:t>in der Zahnarztpraxis</w:t>
      </w:r>
    </w:p>
    <w:p w14:paraId="78776A5E" w14:textId="77777777" w:rsidR="00DF2E10" w:rsidRDefault="00DF2E10" w:rsidP="00DF2E1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DF2E10" w:rsidRPr="00E6698A" w14:paraId="7EB57730" w14:textId="77777777" w:rsidTr="00915897">
        <w:trPr>
          <w:tblHeader/>
        </w:trPr>
        <w:tc>
          <w:tcPr>
            <w:tcW w:w="851" w:type="dxa"/>
            <w:vAlign w:val="center"/>
          </w:tcPr>
          <w:p w14:paraId="18389475" w14:textId="77777777" w:rsidR="00DF2E10" w:rsidRPr="002A7D2E" w:rsidRDefault="00DF2E10" w:rsidP="0091589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DA40D2B" w14:textId="77777777" w:rsidR="00DF2E10" w:rsidRPr="00E6698A" w:rsidRDefault="00DF2E10" w:rsidP="0091589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2999FB19" w14:textId="77777777" w:rsidR="00DF2E10" w:rsidRPr="00E6698A" w:rsidRDefault="00DF2E10" w:rsidP="0091589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1342A4B5" w14:textId="77777777" w:rsidR="00DF2E10" w:rsidRPr="00E6698A" w:rsidRDefault="00DF2E10" w:rsidP="0091589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6A43B2" w:rsidRPr="00E6698A" w14:paraId="4897D5E6" w14:textId="77777777" w:rsidTr="006A43B2">
        <w:trPr>
          <w:trHeight w:val="615"/>
        </w:trPr>
        <w:tc>
          <w:tcPr>
            <w:tcW w:w="851" w:type="dxa"/>
            <w:vAlign w:val="center"/>
          </w:tcPr>
          <w:p w14:paraId="12AA5890" w14:textId="6745DC3E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17</w:t>
            </w:r>
          </w:p>
        </w:tc>
        <w:tc>
          <w:tcPr>
            <w:tcW w:w="6889" w:type="dxa"/>
            <w:vAlign w:val="center"/>
          </w:tcPr>
          <w:p w14:paraId="2C1443FC" w14:textId="49AEFEB9" w:rsidR="006A43B2" w:rsidRPr="00E6698A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Ist es verboten in Laborräumen, in denen mit </w:t>
            </w:r>
            <w:r>
              <w:rPr>
                <w:rFonts w:cs="Arial"/>
                <w:bCs/>
                <w:sz w:val="20"/>
                <w:szCs w:val="20"/>
              </w:rPr>
              <w:t>Biostoffen</w:t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 Kontaktmöglichkeit besteht, Lebensmittel aufzubewahren bzw. einzunehmen?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558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80F2D1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141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DEFEE5B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43B2" w:rsidRPr="00E6698A" w14:paraId="34259725" w14:textId="77777777" w:rsidTr="006A43B2">
        <w:trPr>
          <w:trHeight w:val="695"/>
        </w:trPr>
        <w:tc>
          <w:tcPr>
            <w:tcW w:w="851" w:type="dxa"/>
            <w:vAlign w:val="center"/>
          </w:tcPr>
          <w:p w14:paraId="03F5C548" w14:textId="785DDC7A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18</w:t>
            </w:r>
          </w:p>
        </w:tc>
        <w:tc>
          <w:tcPr>
            <w:tcW w:w="6889" w:type="dxa"/>
            <w:vAlign w:val="center"/>
          </w:tcPr>
          <w:p w14:paraId="069DFDC7" w14:textId="596ECD35" w:rsidR="006A43B2" w:rsidRPr="00E6698A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die Flächen und Einrichtungsgegenstände gemäß den Vorgaben des Hygieneplanes gereinigt und/oder desinfiziert?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4253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1D6B9E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86440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B692AB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43B2" w:rsidRPr="00E6698A" w14:paraId="3E76C6CD" w14:textId="77777777" w:rsidTr="006A43B2">
        <w:trPr>
          <w:trHeight w:val="704"/>
        </w:trPr>
        <w:tc>
          <w:tcPr>
            <w:tcW w:w="851" w:type="dxa"/>
            <w:vAlign w:val="center"/>
          </w:tcPr>
          <w:p w14:paraId="212424EF" w14:textId="37AC6AAC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19</w:t>
            </w:r>
          </w:p>
        </w:tc>
        <w:tc>
          <w:tcPr>
            <w:tcW w:w="6889" w:type="dxa"/>
            <w:vAlign w:val="center"/>
          </w:tcPr>
          <w:p w14:paraId="02A9AB09" w14:textId="5F4CF396" w:rsidR="006A43B2" w:rsidRPr="00E6698A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Sind die vorhandenen Arbeitsflächen und Fußböden feucht zu reinigen und können diese desinfiziert werden?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1620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133350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70523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A462FF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43B2" w:rsidRPr="00E6698A" w14:paraId="1CF501F5" w14:textId="77777777" w:rsidTr="006A43B2">
        <w:trPr>
          <w:trHeight w:val="970"/>
        </w:trPr>
        <w:tc>
          <w:tcPr>
            <w:tcW w:w="851" w:type="dxa"/>
            <w:vAlign w:val="center"/>
          </w:tcPr>
          <w:p w14:paraId="6DB56B2E" w14:textId="185D5F0A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6889" w:type="dxa"/>
            <w:vAlign w:val="center"/>
          </w:tcPr>
          <w:p w14:paraId="63DDB334" w14:textId="22E678E3" w:rsidR="006A43B2" w:rsidRPr="00E6698A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Werden die Beschäftigten über die arbeitsmedizinische Vorsorge informiert und die </w:t>
            </w:r>
            <w:r>
              <w:rPr>
                <w:rFonts w:cs="Arial"/>
                <w:bCs/>
                <w:sz w:val="20"/>
                <w:szCs w:val="20"/>
              </w:rPr>
              <w:t xml:space="preserve">arbeitsmedizinischen </w:t>
            </w:r>
            <w:r w:rsidRPr="00CC0730">
              <w:rPr>
                <w:rFonts w:cs="Arial"/>
                <w:bCs/>
                <w:sz w:val="20"/>
                <w:szCs w:val="20"/>
              </w:rPr>
              <w:t>Vorsorge</w:t>
            </w:r>
            <w:r>
              <w:rPr>
                <w:rFonts w:cs="Arial"/>
                <w:bCs/>
                <w:sz w:val="20"/>
                <w:szCs w:val="20"/>
              </w:rPr>
              <w:t>untersuchungen</w:t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Biostoffe (</w:t>
            </w:r>
            <w:r w:rsidRPr="00CC0730">
              <w:rPr>
                <w:rFonts w:cs="Arial"/>
                <w:bCs/>
                <w:sz w:val="20"/>
                <w:szCs w:val="20"/>
              </w:rPr>
              <w:t>G 42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 und/oder </w:t>
            </w:r>
            <w:r>
              <w:rPr>
                <w:rFonts w:cs="Arial"/>
                <w:bCs/>
                <w:sz w:val="20"/>
                <w:szCs w:val="20"/>
              </w:rPr>
              <w:t>ggf. Hautgefährdung (</w:t>
            </w:r>
            <w:r w:rsidRPr="00CC0730">
              <w:rPr>
                <w:rFonts w:cs="Arial"/>
                <w:bCs/>
                <w:sz w:val="20"/>
                <w:szCs w:val="20"/>
              </w:rPr>
              <w:t>G 24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 veranlasst?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2316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B30B685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208968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D6E3FC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43B2" w:rsidRPr="00E6698A" w14:paraId="0184A791" w14:textId="77777777" w:rsidTr="006A43B2">
        <w:trPr>
          <w:trHeight w:val="984"/>
        </w:trPr>
        <w:tc>
          <w:tcPr>
            <w:tcW w:w="851" w:type="dxa"/>
            <w:vAlign w:val="center"/>
          </w:tcPr>
          <w:p w14:paraId="7E58CB73" w14:textId="15D6C76C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21</w:t>
            </w:r>
          </w:p>
        </w:tc>
        <w:tc>
          <w:tcPr>
            <w:tcW w:w="6889" w:type="dxa"/>
            <w:vAlign w:val="center"/>
          </w:tcPr>
          <w:p w14:paraId="2F81E481" w14:textId="19FF2CB9" w:rsidR="006A43B2" w:rsidRPr="00E6698A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1F56F8">
              <w:rPr>
                <w:rFonts w:cs="Arial"/>
                <w:bCs/>
                <w:sz w:val="20"/>
                <w:szCs w:val="20"/>
              </w:rPr>
              <w:t xml:space="preserve">Werden die Beschäftigten vor Tätigkeitsaufnahme und bei gegebener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1F56F8">
              <w:rPr>
                <w:rFonts w:cs="Arial"/>
                <w:bCs/>
                <w:sz w:val="20"/>
                <w:szCs w:val="20"/>
              </w:rPr>
              <w:t xml:space="preserve">Veranlassung über die in Frage kommenden Maßnahmen zur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1F56F8">
              <w:rPr>
                <w:rFonts w:cs="Arial"/>
                <w:bCs/>
                <w:sz w:val="20"/>
                <w:szCs w:val="20"/>
              </w:rPr>
              <w:t>Immunisierung unterrichtet und informiert?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8672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27E7BB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65405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F1B3A0" w14:textId="77777777" w:rsidR="006A43B2" w:rsidRPr="002A7D2E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43B2" w:rsidRPr="00E6698A" w14:paraId="47180F20" w14:textId="77777777" w:rsidTr="006A43B2">
        <w:trPr>
          <w:trHeight w:val="1123"/>
        </w:trPr>
        <w:tc>
          <w:tcPr>
            <w:tcW w:w="851" w:type="dxa"/>
            <w:vAlign w:val="center"/>
          </w:tcPr>
          <w:p w14:paraId="591D201E" w14:textId="627F2E46" w:rsidR="006A43B2" w:rsidRPr="006335BD" w:rsidRDefault="006A43B2" w:rsidP="006A43B2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6335BD">
              <w:rPr>
                <w:rFonts w:cs="Arial"/>
                <w:bCs/>
                <w:sz w:val="16"/>
                <w:szCs w:val="16"/>
              </w:rPr>
              <w:t>23.</w:t>
            </w:r>
            <w:r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6889" w:type="dxa"/>
            <w:vAlign w:val="center"/>
          </w:tcPr>
          <w:p w14:paraId="4D6612D0" w14:textId="6D63623D" w:rsidR="006A43B2" w:rsidRPr="00342515" w:rsidRDefault="006A43B2" w:rsidP="006A43B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die Praxismitarbeiter vor Tätigkeitsaufnahme und anschließend mindestens einmal jährlich mündlich und arbeitsbereichs- und stoff-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bezogen in die Gefährdungen und Schutzmaßnahmen unterwiesen </w:t>
            </w:r>
            <w:r w:rsidRPr="00CC0730">
              <w:rPr>
                <w:rFonts w:cs="Arial"/>
                <w:bCs/>
                <w:sz w:val="20"/>
                <w:szCs w:val="20"/>
              </w:rPr>
              <w:br/>
              <w:t>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71948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EC9ACA" w14:textId="77777777" w:rsidR="006A43B2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5696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FB206F" w14:textId="77777777" w:rsidR="006A43B2" w:rsidRDefault="006A43B2" w:rsidP="006A43B2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7A988B" w14:textId="77777777" w:rsidR="00512DD3" w:rsidRDefault="00512DD3" w:rsidP="00977F73">
      <w:pPr>
        <w:jc w:val="both"/>
        <w:rPr>
          <w:sz w:val="20"/>
          <w:szCs w:val="20"/>
        </w:rPr>
      </w:pPr>
    </w:p>
    <w:p w14:paraId="38ACE796" w14:textId="77777777" w:rsidR="00512DD3" w:rsidRPr="002F66B9" w:rsidRDefault="00512DD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DBC30DF" w14:textId="77777777" w:rsidR="001668F3" w:rsidRDefault="001668F3" w:rsidP="00977F73">
      <w:pPr>
        <w:jc w:val="both"/>
        <w:rPr>
          <w:sz w:val="20"/>
          <w:szCs w:val="20"/>
        </w:rPr>
      </w:pPr>
    </w:p>
    <w:p w14:paraId="08E7715F" w14:textId="77777777" w:rsidR="001668F3" w:rsidRDefault="001668F3" w:rsidP="00977F73">
      <w:pPr>
        <w:jc w:val="both"/>
        <w:rPr>
          <w:sz w:val="20"/>
          <w:szCs w:val="20"/>
        </w:rPr>
        <w:sectPr w:rsidR="001668F3" w:rsidSect="00537E58"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58102C" w:rsidRPr="005D45E5" w14:paraId="522D448B" w14:textId="77777777" w:rsidTr="0058102C">
        <w:trPr>
          <w:trHeight w:val="75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37EAB632" w:rsidR="0058102C" w:rsidRPr="00030FC3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23</w:t>
            </w:r>
            <w:r w:rsidRPr="00030FC3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5E92CAB5" w:rsidR="0058102C" w:rsidRPr="00E6698A" w:rsidRDefault="0058102C" w:rsidP="0058102C">
            <w:pPr>
              <w:spacing w:before="40" w:after="40"/>
              <w:rPr>
                <w:bCs/>
                <w:sz w:val="20"/>
                <w:szCs w:val="20"/>
              </w:rPr>
            </w:pPr>
            <w:r w:rsidRPr="00CC0730">
              <w:rPr>
                <w:bCs/>
                <w:sz w:val="20"/>
                <w:szCs w:val="20"/>
              </w:rPr>
              <w:t>Die Abformungen und zahntechnischen Werkstücke sind gemäß den Vorgaben im Hygieneplan zu reinigen und zu desinfizieren.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58102C" w:rsidRPr="00910E06" w:rsidRDefault="00A50F83" w:rsidP="0058102C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58102C" w:rsidRPr="005D45E5" w14:paraId="58DD5DA9" w14:textId="77777777" w:rsidTr="000F6F14">
        <w:trPr>
          <w:trHeight w:val="997"/>
        </w:trPr>
        <w:tc>
          <w:tcPr>
            <w:tcW w:w="851" w:type="dxa"/>
            <w:vAlign w:val="center"/>
          </w:tcPr>
          <w:p w14:paraId="7D19473B" w14:textId="70C30F0D" w:rsidR="0058102C" w:rsidRPr="00030FC3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030FC3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4DCE8D81" w14:textId="3CE58B00" w:rsidR="0058102C" w:rsidRPr="00E6698A" w:rsidRDefault="0058102C" w:rsidP="0058102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bCs/>
                <w:sz w:val="20"/>
                <w:szCs w:val="20"/>
              </w:rPr>
              <w:t xml:space="preserve">Die in einem Brennofen entstehenden Dämpfe dürfen nicht ungereinigt in die Raumluft zurück </w:t>
            </w:r>
            <w:r>
              <w:rPr>
                <w:bCs/>
                <w:sz w:val="20"/>
                <w:szCs w:val="20"/>
              </w:rPr>
              <w:br/>
            </w:r>
            <w:r w:rsidRPr="00CC0730">
              <w:rPr>
                <w:bCs/>
                <w:sz w:val="20"/>
                <w:szCs w:val="20"/>
              </w:rPr>
              <w:t>geführt werden. D.h. eine Abluftführung der Dämpfe aus dem Brennofen über die Außenwand oder das Dach bzw. eine technische Abluftreinigung stellen Möglichkeiten der Umsetzung dar.</w:t>
            </w:r>
          </w:p>
        </w:tc>
        <w:tc>
          <w:tcPr>
            <w:tcW w:w="1276" w:type="dxa"/>
            <w:vAlign w:val="center"/>
          </w:tcPr>
          <w:p w14:paraId="08177D6F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58102C" w:rsidRPr="00E6698A" w:rsidRDefault="00A50F83" w:rsidP="0058102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8102C" w:rsidRPr="005D45E5" w14:paraId="5A12ED24" w14:textId="77777777" w:rsidTr="00030FC3">
        <w:trPr>
          <w:trHeight w:val="840"/>
        </w:trPr>
        <w:tc>
          <w:tcPr>
            <w:tcW w:w="851" w:type="dxa"/>
            <w:vAlign w:val="center"/>
          </w:tcPr>
          <w:p w14:paraId="66EB0318" w14:textId="3F198F0B" w:rsidR="0058102C" w:rsidRPr="00030FC3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030FC3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55B645B1" w:rsidR="0058102C" w:rsidRPr="00E6698A" w:rsidRDefault="0058102C" w:rsidP="0058102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bCs/>
                <w:sz w:val="20"/>
                <w:szCs w:val="20"/>
              </w:rPr>
              <w:t xml:space="preserve">Als Schutz vor der bestehenden thermischen Gefährdung z.B. bei der Entnahme von aufgebrannten </w:t>
            </w:r>
            <w:r w:rsidRPr="00CC0730">
              <w:rPr>
                <w:bCs/>
                <w:sz w:val="20"/>
                <w:szCs w:val="20"/>
              </w:rPr>
              <w:br/>
              <w:t xml:space="preserve">(geglättete und veredelte Oberflächen) Keramiken aus dem Brennofen sollten technische Hilfsmittel </w:t>
            </w:r>
            <w:r w:rsidRPr="00CC0730">
              <w:rPr>
                <w:bCs/>
                <w:sz w:val="20"/>
                <w:szCs w:val="20"/>
              </w:rPr>
              <w:br/>
              <w:t>(z.B. Muffelzange) und/oder persönliche Schutzausrüstung zum Einsatz kommen.</w:t>
            </w:r>
          </w:p>
        </w:tc>
        <w:tc>
          <w:tcPr>
            <w:tcW w:w="1276" w:type="dxa"/>
            <w:vAlign w:val="center"/>
          </w:tcPr>
          <w:p w14:paraId="700E6A3C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58102C" w:rsidRPr="00E6698A" w:rsidRDefault="00A50F83" w:rsidP="0058102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8102C" w:rsidRPr="005D45E5" w14:paraId="657C2694" w14:textId="77777777" w:rsidTr="000F6F14">
        <w:trPr>
          <w:trHeight w:val="826"/>
        </w:trPr>
        <w:tc>
          <w:tcPr>
            <w:tcW w:w="851" w:type="dxa"/>
            <w:vAlign w:val="center"/>
          </w:tcPr>
          <w:p w14:paraId="1D62F0B0" w14:textId="300F1781" w:rsidR="0058102C" w:rsidRPr="00030FC3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23.</w:t>
            </w:r>
            <w:r w:rsidRPr="00030FC3">
              <w:rPr>
                <w:rFonts w:cs="Arial"/>
                <w:bCs/>
                <w:sz w:val="16"/>
                <w:szCs w:val="16"/>
              </w:rPr>
              <w:t>04</w:t>
            </w:r>
          </w:p>
        </w:tc>
        <w:tc>
          <w:tcPr>
            <w:tcW w:w="9072" w:type="dxa"/>
            <w:vAlign w:val="center"/>
          </w:tcPr>
          <w:p w14:paraId="77B85D8F" w14:textId="7BA536F8" w:rsidR="0058102C" w:rsidRPr="00E6698A" w:rsidRDefault="0058102C" w:rsidP="0058102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Die z.B. bei der Bearbeitung von Gussobjekten oder Keramiken entstehenden Stäube müssen </w:t>
            </w:r>
            <w:r w:rsidR="000F6F14"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 xml:space="preserve">wirksam abgesaugt (Tischabsaugung) werden. Diese Absaugungen sind regelmäßig, d.h. </w:t>
            </w:r>
            <w:r w:rsidR="000F6F14"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mindestens einmal jährlich einer Funktionsprüfung zu unterziehen</w:t>
            </w:r>
            <w:r w:rsidR="000F6F14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6EA3E0B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58102C" w:rsidRPr="00E6698A" w:rsidRDefault="00A50F83" w:rsidP="0058102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8102C" w:rsidRPr="005D45E5" w14:paraId="52B64C27" w14:textId="77777777" w:rsidTr="000F6F14">
        <w:trPr>
          <w:trHeight w:val="1121"/>
        </w:trPr>
        <w:tc>
          <w:tcPr>
            <w:tcW w:w="851" w:type="dxa"/>
            <w:vAlign w:val="center"/>
          </w:tcPr>
          <w:p w14:paraId="0C259F68" w14:textId="41DD39F7" w:rsidR="0058102C" w:rsidRPr="00030FC3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030FC3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1A6105D1" w14:textId="3F2CC8E5" w:rsidR="0058102C" w:rsidRPr="00E6698A" w:rsidRDefault="0058102C" w:rsidP="0058102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Bei der Umsetzung von Schutzmaßnahmen gilt grundsätzlich technisch vor organisatorisch und vor </w:t>
            </w:r>
            <w:r w:rsidRPr="00CC0730">
              <w:rPr>
                <w:rFonts w:cs="Arial"/>
                <w:bCs/>
                <w:sz w:val="20"/>
                <w:szCs w:val="20"/>
              </w:rPr>
              <w:br/>
              <w:t xml:space="preserve">persönlichen Schutzmaßnahmen. D.h. bei spanabhebenden Verfahren (z.B. das Bearbeiten von Modellgussobjekten) werden zuerst technische Schutzmaßnahmen (z.B. Tischabsaugung mit </w:t>
            </w:r>
            <w:r w:rsidR="000F6F14"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Plexiglasschutzscheibe gegen wegfliegende Stäube) umgesetzt.</w:t>
            </w:r>
          </w:p>
        </w:tc>
        <w:tc>
          <w:tcPr>
            <w:tcW w:w="1276" w:type="dxa"/>
            <w:vAlign w:val="center"/>
          </w:tcPr>
          <w:p w14:paraId="1728DCC6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AA541A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91774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4B584D9" w14:textId="0B451DFC" w:rsidR="0058102C" w:rsidRDefault="00A50F83" w:rsidP="0058102C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3486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79521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58102C" w:rsidRPr="005D45E5" w14:paraId="736E2F3D" w14:textId="77777777" w:rsidTr="000F6F14">
        <w:trPr>
          <w:trHeight w:val="854"/>
        </w:trPr>
        <w:tc>
          <w:tcPr>
            <w:tcW w:w="851" w:type="dxa"/>
            <w:vAlign w:val="center"/>
          </w:tcPr>
          <w:p w14:paraId="3791332D" w14:textId="72A40A6B" w:rsidR="0058102C" w:rsidRPr="002A7D2E" w:rsidRDefault="0058102C" w:rsidP="0058102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030FC3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58650DBA" w14:textId="049EC89F" w:rsidR="0058102C" w:rsidRPr="00E6698A" w:rsidRDefault="0058102C" w:rsidP="0058102C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Das Strahlen von Gussobjekten darf nur in geschlossenen Strahlgeräten durchgeführt werden.</w:t>
            </w:r>
            <w:r w:rsidR="000F6F14"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Als Strahlmittel dürfen nur solche eingesetzt werden, die keine freie kristalline Kieselsäure (z.B. Edelkorund, Glasperlen, Mullit) enthalten. D.h. quarzhaltiger Sand als Strahlmittel ist zu ersetzen.</w:t>
            </w:r>
          </w:p>
        </w:tc>
        <w:tc>
          <w:tcPr>
            <w:tcW w:w="1276" w:type="dxa"/>
            <w:vAlign w:val="center"/>
          </w:tcPr>
          <w:p w14:paraId="37CC843E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58102C" w:rsidRPr="00E6698A" w:rsidRDefault="0058102C" w:rsidP="0058102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58102C" w:rsidRPr="00E6698A" w:rsidRDefault="00A50F83" w:rsidP="0058102C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r w:rsidR="0058102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02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58102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24F2D" w:rsidRPr="005D45E5" w14:paraId="727FDB53" w14:textId="77777777" w:rsidTr="00624F2D">
        <w:trPr>
          <w:trHeight w:val="696"/>
        </w:trPr>
        <w:tc>
          <w:tcPr>
            <w:tcW w:w="851" w:type="dxa"/>
            <w:vAlign w:val="center"/>
          </w:tcPr>
          <w:p w14:paraId="3DF4414C" w14:textId="24E3E9F6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5E79CD2F" w14:textId="4632C967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Die edelmetallfreien Aufbrennkeramiken und Stahllegierungen (Modellgusslegierungen) müssen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berylliumfrei zum Einsatz kommen.</w:t>
            </w:r>
          </w:p>
        </w:tc>
        <w:tc>
          <w:tcPr>
            <w:tcW w:w="1276" w:type="dxa"/>
            <w:vAlign w:val="center"/>
          </w:tcPr>
          <w:p w14:paraId="01C17658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50F83" w:rsidRPr="005D45E5" w14:paraId="043896E8" w14:textId="77777777" w:rsidTr="00A50F83">
        <w:trPr>
          <w:trHeight w:val="870"/>
        </w:trPr>
        <w:tc>
          <w:tcPr>
            <w:tcW w:w="851" w:type="dxa"/>
            <w:vAlign w:val="center"/>
          </w:tcPr>
          <w:p w14:paraId="21AA4CB7" w14:textId="3515C51D" w:rsidR="00A50F83" w:rsidRDefault="00A50F83" w:rsidP="00A50F8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.08</w:t>
            </w:r>
          </w:p>
        </w:tc>
        <w:tc>
          <w:tcPr>
            <w:tcW w:w="9072" w:type="dxa"/>
            <w:vAlign w:val="center"/>
          </w:tcPr>
          <w:p w14:paraId="1D4DC3E7" w14:textId="1F37BBBC" w:rsidR="00A50F83" w:rsidRPr="00CC0730" w:rsidRDefault="00A50F83" w:rsidP="00A50F8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20"/>
                <w:szCs w:val="20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Werden im Praxislabor Kunststoffe verarbeitet, so müssen die aktuellen Sicherheitsdatenblätter für die verwendeten Kunststoffe der Hersteller vorhanden sein und die dort genannten Schutz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maßnahmen eingehalten werden.</w:t>
            </w:r>
          </w:p>
        </w:tc>
        <w:tc>
          <w:tcPr>
            <w:tcW w:w="1276" w:type="dxa"/>
            <w:vAlign w:val="center"/>
          </w:tcPr>
          <w:p w14:paraId="4B6129F8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93D9A5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1184E0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2381D6" w14:textId="3829D8BD" w:rsidR="00A50F83" w:rsidRDefault="00A50F83" w:rsidP="00A50F8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8280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Pr="00910E06">
              <w:rPr>
                <w:rFonts w:cs="Arial"/>
                <w:bCs/>
                <w:sz w:val="18"/>
                <w:szCs w:val="18"/>
              </w:rPr>
              <w:br/>
            </w:r>
            <w:r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3817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7C735127" w14:textId="77777777" w:rsidR="00624F2D" w:rsidRDefault="00624F2D"/>
    <w:p w14:paraId="1371D036" w14:textId="77777777" w:rsidR="00A50F83" w:rsidRDefault="00A50F83"/>
    <w:p w14:paraId="3BD0FC21" w14:textId="56EDD0E2" w:rsidR="00624F2D" w:rsidRDefault="00624F2D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624F2D" w:rsidRPr="005D45E5" w14:paraId="085F28A9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7AF8B635" w14:textId="753A9455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.09</w:t>
            </w:r>
          </w:p>
        </w:tc>
        <w:tc>
          <w:tcPr>
            <w:tcW w:w="9072" w:type="dxa"/>
            <w:vAlign w:val="center"/>
          </w:tcPr>
          <w:p w14:paraId="327301BF" w14:textId="29A88276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Wird im Praxislabor mit Gefahrstoffen umgegangen, siehe Vorgehensweise in der Gefährdungs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beurteilung „Gefahrstoffe“.</w:t>
            </w:r>
          </w:p>
        </w:tc>
        <w:tc>
          <w:tcPr>
            <w:tcW w:w="1276" w:type="dxa"/>
            <w:vAlign w:val="center"/>
          </w:tcPr>
          <w:p w14:paraId="0116C4D9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8A5EBE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619BC8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A21727" w14:textId="3821499E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48361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107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24F2D" w:rsidRPr="005D45E5" w14:paraId="0E7D107D" w14:textId="77777777" w:rsidTr="000D02BE">
        <w:trPr>
          <w:trHeight w:val="558"/>
        </w:trPr>
        <w:tc>
          <w:tcPr>
            <w:tcW w:w="851" w:type="dxa"/>
            <w:vAlign w:val="center"/>
          </w:tcPr>
          <w:p w14:paraId="63581D31" w14:textId="121381AB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.10</w:t>
            </w:r>
          </w:p>
        </w:tc>
        <w:tc>
          <w:tcPr>
            <w:tcW w:w="9072" w:type="dxa"/>
            <w:vAlign w:val="center"/>
          </w:tcPr>
          <w:p w14:paraId="4664DE28" w14:textId="5B9C3E41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 xml:space="preserve">Die geltenden Sicherheitsmaßnahmen bei Tätigkeiten mit Flüssiggas für Bunsenbrenner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CC0730">
              <w:rPr>
                <w:rFonts w:cs="Arial"/>
                <w:bCs/>
                <w:sz w:val="20"/>
                <w:szCs w:val="20"/>
              </w:rPr>
              <w:t>(z.B. Lagerung an einem kühlen und gut durchlüfteten Ort, etc.) sind einzuhalten.</w:t>
            </w:r>
          </w:p>
        </w:tc>
        <w:tc>
          <w:tcPr>
            <w:tcW w:w="1276" w:type="dxa"/>
            <w:vAlign w:val="center"/>
          </w:tcPr>
          <w:p w14:paraId="26AB79F4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23BD1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6D80EB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F76F7D" w14:textId="2E0E41F1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3451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804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24F2D" w:rsidRPr="005D45E5" w14:paraId="33FA7F4D" w14:textId="77777777" w:rsidTr="00A50F83">
        <w:trPr>
          <w:trHeight w:val="830"/>
        </w:trPr>
        <w:tc>
          <w:tcPr>
            <w:tcW w:w="851" w:type="dxa"/>
            <w:vAlign w:val="center"/>
          </w:tcPr>
          <w:p w14:paraId="76FE6519" w14:textId="7E4B569F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.11</w:t>
            </w:r>
          </w:p>
        </w:tc>
        <w:tc>
          <w:tcPr>
            <w:tcW w:w="9072" w:type="dxa"/>
            <w:vAlign w:val="center"/>
          </w:tcPr>
          <w:p w14:paraId="18796400" w14:textId="3D48FCC5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Der Praxisinhaber hat entsprechend den ermittelten und beurteilten Gefährdungen persönliche Schutzausrüstung in ausreichender Anzahl bereit zu stellen und die Beschäftigten hierüber zu unterweisen und deren Benutzung zu überwachen (grundsätzliche Trageverpflichtung).</w:t>
            </w:r>
          </w:p>
        </w:tc>
        <w:tc>
          <w:tcPr>
            <w:tcW w:w="1276" w:type="dxa"/>
            <w:vAlign w:val="center"/>
          </w:tcPr>
          <w:p w14:paraId="03FE077B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71A4FE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D37DA9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88B0FC" w14:textId="248C6C04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020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443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24F2D" w:rsidRPr="005D45E5" w14:paraId="6408C841" w14:textId="77777777" w:rsidTr="00A50F83">
        <w:trPr>
          <w:trHeight w:val="686"/>
        </w:trPr>
        <w:tc>
          <w:tcPr>
            <w:tcW w:w="851" w:type="dxa"/>
            <w:vAlign w:val="center"/>
          </w:tcPr>
          <w:p w14:paraId="7AB83240" w14:textId="612CDB07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2</w:t>
            </w:r>
          </w:p>
        </w:tc>
        <w:tc>
          <w:tcPr>
            <w:tcW w:w="9072" w:type="dxa"/>
            <w:vAlign w:val="center"/>
          </w:tcPr>
          <w:p w14:paraId="076CCB1F" w14:textId="140D3415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Die bereitgestellte persönliche Schutzausrüstung (Augenschutz, Schutzhandschuhe, evtl. Schutzschürze/Schutzkleidung) ist von den Praxislabormitarbeitern bei bestehenden Gefährdungen zu benutzen (grundsätzliche Trageverpflichtung) und die Benutzung ist zu überwachen.</w:t>
            </w:r>
          </w:p>
        </w:tc>
        <w:tc>
          <w:tcPr>
            <w:tcW w:w="1276" w:type="dxa"/>
            <w:vAlign w:val="center"/>
          </w:tcPr>
          <w:p w14:paraId="73B92020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270DA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800D2B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8630BF" w14:textId="46B67C42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72984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922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624F2D" w:rsidRPr="005D45E5" w14:paraId="7D29B280" w14:textId="77777777" w:rsidTr="00624F2D">
        <w:trPr>
          <w:trHeight w:val="839"/>
        </w:trPr>
        <w:tc>
          <w:tcPr>
            <w:tcW w:w="851" w:type="dxa"/>
            <w:vAlign w:val="center"/>
          </w:tcPr>
          <w:p w14:paraId="32B2FF00" w14:textId="532C68FB" w:rsidR="00624F2D" w:rsidRPr="002F507C" w:rsidRDefault="00624F2D" w:rsidP="00624F2D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9072" w:type="dxa"/>
            <w:vAlign w:val="center"/>
          </w:tcPr>
          <w:p w14:paraId="17ED6ADC" w14:textId="484DE272" w:rsidR="00624F2D" w:rsidRPr="00E6698A" w:rsidRDefault="00624F2D" w:rsidP="00624F2D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>Den Beschäftigten sind leicht erreichbare Händewaschplätze mit fließendem warmem und kaltem Wasser, Direktspender für Händedesinfektionsmittel, hautschonende Waschmittel, geeignete Hautschutz- und -pflegemittel und Handtücher zum einmaligen Gebrauch zur Verfügung zu stellen.</w:t>
            </w:r>
          </w:p>
        </w:tc>
        <w:tc>
          <w:tcPr>
            <w:tcW w:w="1276" w:type="dxa"/>
            <w:vAlign w:val="center"/>
          </w:tcPr>
          <w:p w14:paraId="0A2934D2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C06EC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027323" w14:textId="77777777" w:rsidR="00624F2D" w:rsidRPr="00E6698A" w:rsidRDefault="00624F2D" w:rsidP="00624F2D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07D2AB" w14:textId="5015019D" w:rsidR="00624F2D" w:rsidRDefault="00A50F83" w:rsidP="00624F2D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6978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r w:rsidR="00624F2D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2563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F2D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624F2D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0409EC" w:rsidRPr="005D45E5" w14:paraId="5766AABF" w14:textId="77777777" w:rsidTr="00A50F83">
        <w:trPr>
          <w:trHeight w:val="950"/>
        </w:trPr>
        <w:tc>
          <w:tcPr>
            <w:tcW w:w="851" w:type="dxa"/>
            <w:vAlign w:val="center"/>
          </w:tcPr>
          <w:p w14:paraId="483E744D" w14:textId="332692C1" w:rsidR="000409EC" w:rsidRPr="002F507C" w:rsidRDefault="000409EC" w:rsidP="000409E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9072" w:type="dxa"/>
            <w:vAlign w:val="center"/>
          </w:tcPr>
          <w:p w14:paraId="1F007B9A" w14:textId="453E7E42" w:rsidR="000409EC" w:rsidRPr="004C2856" w:rsidRDefault="000409EC" w:rsidP="00040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730">
              <w:rPr>
                <w:sz w:val="20"/>
                <w:szCs w:val="20"/>
              </w:rPr>
              <w:t xml:space="preserve">Das Thema „Hautschutz“ sollte Bestandteil des praxisinternen Hygieneplanes sein, in dem auch auf die zur Verfügung gestellten Hautschutz-, Hautreinigungs- und Hautpflegemittel verwiesen wird. Der Hygieneplan ist sichtbar auszuhängen, bei Änderungen zu aktualisieren und den Mitarbeitern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zugänglich zu machen.</w:t>
            </w:r>
          </w:p>
        </w:tc>
        <w:tc>
          <w:tcPr>
            <w:tcW w:w="1276" w:type="dxa"/>
            <w:vAlign w:val="center"/>
          </w:tcPr>
          <w:p w14:paraId="70927D50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DE5302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2351C2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0047E1B" w14:textId="79B86F1C" w:rsidR="000409EC" w:rsidRDefault="00A50F83" w:rsidP="000409EC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562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E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409E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409EC" w:rsidRPr="00910E06">
              <w:rPr>
                <w:rFonts w:cs="Arial"/>
                <w:bCs/>
                <w:sz w:val="18"/>
                <w:szCs w:val="18"/>
              </w:rPr>
              <w:br/>
            </w:r>
            <w:r w:rsidR="000409E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364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E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409E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0409EC" w:rsidRPr="005D45E5" w14:paraId="62B54B24" w14:textId="77777777" w:rsidTr="00A50F83">
        <w:trPr>
          <w:trHeight w:val="694"/>
        </w:trPr>
        <w:tc>
          <w:tcPr>
            <w:tcW w:w="851" w:type="dxa"/>
            <w:vAlign w:val="center"/>
          </w:tcPr>
          <w:p w14:paraId="189860F3" w14:textId="7AD61C17" w:rsidR="000409EC" w:rsidRPr="002F507C" w:rsidRDefault="000409EC" w:rsidP="000409E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9072" w:type="dxa"/>
            <w:vAlign w:val="center"/>
          </w:tcPr>
          <w:p w14:paraId="28CC0240" w14:textId="7EB993FE" w:rsidR="000409EC" w:rsidRPr="00E6698A" w:rsidRDefault="000409EC" w:rsidP="00A50F83">
            <w:pPr>
              <w:autoSpaceDE w:val="0"/>
              <w:autoSpaceDN w:val="0"/>
              <w:adjustRightInd w:val="0"/>
              <w:spacing w:before="40" w:after="4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 xml:space="preserve">Bei Tätigkeiten, die eine hygienische Händedesinfektion erfordern, dürfen an Händen und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Unterarmen keine Schmuckstücke, Uhren und Eheringe getragen werden.</w:t>
            </w:r>
            <w:r w:rsidR="00A50F83"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Derartige Gegenstände können die Wirksamkeit der Händedesinfektion vermindern.</w:t>
            </w:r>
          </w:p>
        </w:tc>
        <w:tc>
          <w:tcPr>
            <w:tcW w:w="1276" w:type="dxa"/>
            <w:vAlign w:val="center"/>
          </w:tcPr>
          <w:p w14:paraId="357F1F07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D617D9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5DC488" w14:textId="77777777" w:rsidR="000409EC" w:rsidRPr="00E6698A" w:rsidRDefault="000409EC" w:rsidP="000409EC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0499A67" w14:textId="394EAEC4" w:rsidR="000409EC" w:rsidRDefault="00A50F83" w:rsidP="000409EC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835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E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409EC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0409EC" w:rsidRPr="00910E06">
              <w:rPr>
                <w:rFonts w:cs="Arial"/>
                <w:bCs/>
                <w:sz w:val="18"/>
                <w:szCs w:val="18"/>
              </w:rPr>
              <w:br/>
            </w:r>
            <w:r w:rsidR="000409EC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249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EC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409EC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50F83" w:rsidRPr="005D45E5" w14:paraId="3B490D03" w14:textId="77777777" w:rsidTr="00A50F83">
        <w:trPr>
          <w:trHeight w:val="1626"/>
        </w:trPr>
        <w:tc>
          <w:tcPr>
            <w:tcW w:w="851" w:type="dxa"/>
            <w:vAlign w:val="center"/>
          </w:tcPr>
          <w:p w14:paraId="10062C4F" w14:textId="1A2C6533" w:rsidR="00A50F83" w:rsidRDefault="00A50F83" w:rsidP="00A50F8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57DE86B3" w14:textId="343319F0" w:rsidR="00A50F83" w:rsidRPr="00CC0730" w:rsidRDefault="00A50F83" w:rsidP="00A50F83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CC0730">
              <w:rPr>
                <w:sz w:val="20"/>
                <w:szCs w:val="20"/>
              </w:rPr>
              <w:t>In Abstimmung mit dem Betriebsarzt sind die bestehenden Beschäftigungsbeschränkungen bzw. -verbote für Jugendliche und werdende oder stillende Mütter zu beachten und einzuhalten.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 xml:space="preserve">Jugendliche dürfen nur zur Erreichung ihres Ausbildungszieles, unter ständiger Aufsicht eines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 xml:space="preserve">Fachkundigen und bei Einhaltung der geltenden Arbeitsplatzgrenzwerte mit Arbeiten, bei denen sie schädlichen Einwirkungen von bio-logischen Arbeitsstoffen ausgesetzt sind, betraut werden.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 xml:space="preserve">Werdende Mütter dürfen nicht beschäftigt werden, soweit nach ärztlichem Zeugnis Leben oder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Gesundheit von Mutter oder Kind bei Fortdauer der Beschäftigung gefährdet ist.</w:t>
            </w:r>
          </w:p>
        </w:tc>
        <w:tc>
          <w:tcPr>
            <w:tcW w:w="1276" w:type="dxa"/>
            <w:vAlign w:val="center"/>
          </w:tcPr>
          <w:p w14:paraId="0EE25D1E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1B0471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8633E6" w14:textId="77777777" w:rsidR="00A50F83" w:rsidRPr="00E6698A" w:rsidRDefault="00A50F83" w:rsidP="00A50F8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81D805" w14:textId="2776DFCF" w:rsidR="00A50F83" w:rsidRDefault="00A50F83" w:rsidP="00A50F83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7534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Pr="00910E06">
              <w:rPr>
                <w:rFonts w:cs="Arial"/>
                <w:bCs/>
                <w:sz w:val="18"/>
                <w:szCs w:val="18"/>
              </w:rPr>
              <w:br/>
            </w:r>
            <w:r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30076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465BEE43" w14:textId="77777777" w:rsidR="000409EC" w:rsidRDefault="000409EC"/>
    <w:p w14:paraId="51EE49FF" w14:textId="3D998A50" w:rsidR="000409EC" w:rsidRDefault="000409EC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AC0F11" w:rsidRPr="005D45E5" w14:paraId="57B50977" w14:textId="77777777" w:rsidTr="00AC0F11">
        <w:trPr>
          <w:trHeight w:val="696"/>
        </w:trPr>
        <w:tc>
          <w:tcPr>
            <w:tcW w:w="851" w:type="dxa"/>
            <w:vAlign w:val="center"/>
          </w:tcPr>
          <w:p w14:paraId="710451F7" w14:textId="34A25FBB" w:rsidR="00AC0F11" w:rsidRPr="002F507C" w:rsidRDefault="00AC0F11" w:rsidP="00AC0F1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9072" w:type="dxa"/>
            <w:vAlign w:val="center"/>
          </w:tcPr>
          <w:p w14:paraId="4DC96E29" w14:textId="31EE85C6" w:rsidR="00AC0F11" w:rsidRPr="00E6698A" w:rsidRDefault="00AC0F11" w:rsidP="00AC0F11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 xml:space="preserve">In Arbeitsbereichen, in denen Kontaktmöglichkeiten mit biologischen Arbeitsstoffen bestehen,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dürfen Nahrungsmittel jeglicher Art nicht aufbewahrt und eingenommen werden.</w:t>
            </w:r>
          </w:p>
        </w:tc>
        <w:tc>
          <w:tcPr>
            <w:tcW w:w="1276" w:type="dxa"/>
            <w:vAlign w:val="center"/>
          </w:tcPr>
          <w:p w14:paraId="4393F76E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881D51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D9648C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CF32A92" w14:textId="6199B035" w:rsidR="00AC0F11" w:rsidRDefault="00A50F83" w:rsidP="00AC0F11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54602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205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C0F11" w:rsidRPr="005D45E5" w14:paraId="28FF7783" w14:textId="77777777" w:rsidTr="00AC0F11">
        <w:trPr>
          <w:trHeight w:val="706"/>
        </w:trPr>
        <w:tc>
          <w:tcPr>
            <w:tcW w:w="851" w:type="dxa"/>
            <w:vAlign w:val="center"/>
          </w:tcPr>
          <w:p w14:paraId="219BD605" w14:textId="1E1EFEB8" w:rsidR="00AC0F11" w:rsidRPr="002F507C" w:rsidRDefault="00AC0F11" w:rsidP="00AC0F1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9072" w:type="dxa"/>
            <w:vAlign w:val="center"/>
          </w:tcPr>
          <w:p w14:paraId="726E53D5" w14:textId="1ED23347" w:rsidR="00AC0F11" w:rsidRPr="00E6698A" w:rsidRDefault="00AC0F11" w:rsidP="00AC0F11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>Der auf die individuellen Praxisverhältnisse zugeschnittene Hygieneplan soll u.a. aktuelle Angaben über die Reinigung und Desinfektion von Arbeitsflächen und Fußböden beinhalten.</w:t>
            </w:r>
          </w:p>
        </w:tc>
        <w:tc>
          <w:tcPr>
            <w:tcW w:w="1276" w:type="dxa"/>
            <w:vAlign w:val="center"/>
          </w:tcPr>
          <w:p w14:paraId="0D93004D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7F4F6E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171769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E9F8EE" w14:textId="4C3361EB" w:rsidR="00AC0F11" w:rsidRDefault="00A50F83" w:rsidP="00AC0F11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4194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1212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C0F11" w14:paraId="2F03003B" w14:textId="77777777" w:rsidTr="00AC0F11">
        <w:trPr>
          <w:trHeight w:val="688"/>
        </w:trPr>
        <w:tc>
          <w:tcPr>
            <w:tcW w:w="851" w:type="dxa"/>
            <w:vAlign w:val="center"/>
          </w:tcPr>
          <w:p w14:paraId="2A845DBD" w14:textId="36BCB45F" w:rsidR="00AC0F11" w:rsidRPr="002F507C" w:rsidRDefault="00AC0F11" w:rsidP="00AC0F1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.1</w:t>
            </w:r>
            <w:r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9072" w:type="dxa"/>
            <w:vAlign w:val="center"/>
          </w:tcPr>
          <w:p w14:paraId="330CDE7F" w14:textId="55EC9C4D" w:rsidR="00AC0F11" w:rsidRPr="00E6698A" w:rsidRDefault="00AC0F11" w:rsidP="00AC0F11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rFonts w:cs="Arial"/>
                <w:bCs/>
                <w:sz w:val="20"/>
                <w:szCs w:val="20"/>
              </w:rPr>
              <w:t>Die Arbeitsflächen und Fußböden müssen sich feucht reinigen und desinfizieren lassen.</w:t>
            </w:r>
          </w:p>
        </w:tc>
        <w:tc>
          <w:tcPr>
            <w:tcW w:w="1276" w:type="dxa"/>
            <w:vAlign w:val="center"/>
          </w:tcPr>
          <w:p w14:paraId="0FC088E1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4FD1F0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35D8DA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1CCF5EC" w14:textId="77777777" w:rsidR="00AC0F11" w:rsidRDefault="00A50F83" w:rsidP="00AC0F11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744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21222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AC0F11" w14:paraId="5CBF7491" w14:textId="77777777" w:rsidTr="00AC0F11">
        <w:trPr>
          <w:trHeight w:val="1265"/>
        </w:trPr>
        <w:tc>
          <w:tcPr>
            <w:tcW w:w="851" w:type="dxa"/>
            <w:vAlign w:val="center"/>
          </w:tcPr>
          <w:p w14:paraId="212C9255" w14:textId="46938DE9" w:rsidR="00AC0F11" w:rsidRPr="002F507C" w:rsidRDefault="00AC0F11" w:rsidP="00AC0F11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20</w:t>
            </w:r>
          </w:p>
        </w:tc>
        <w:tc>
          <w:tcPr>
            <w:tcW w:w="9072" w:type="dxa"/>
            <w:vAlign w:val="center"/>
          </w:tcPr>
          <w:p w14:paraId="45F68884" w14:textId="58AB24D9" w:rsidR="00AC0F11" w:rsidRPr="00E6698A" w:rsidRDefault="00AC0F11" w:rsidP="00AC0F11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 xml:space="preserve">Beschäftigten im </w:t>
            </w:r>
            <w:r w:rsidRPr="00CC0730">
              <w:rPr>
                <w:sz w:val="20"/>
                <w:szCs w:val="20"/>
              </w:rPr>
              <w:t xml:space="preserve">Praxislabor sind vom Praxisinhaber über die bestehende arbeitsmedizinische 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 xml:space="preserve">Vorsorge in der Zahnarztpraxis zu informieren und der Praxisinhaber hat darauf zu achten, </w:t>
            </w:r>
            <w:r>
              <w:rPr>
                <w:sz w:val="20"/>
                <w:szCs w:val="20"/>
              </w:rPr>
              <w:t xml:space="preserve">sofern die Tätigkeitsvoraussetzungen erfüllt sind, dass die im </w:t>
            </w:r>
            <w:hyperlink r:id="rId13" w:history="1">
              <w:r w:rsidRPr="00476E47">
                <w:rPr>
                  <w:rStyle w:val="Hyperlink"/>
                  <w:color w:val="800080"/>
                  <w:sz w:val="20"/>
                  <w:szCs w:val="20"/>
                  <w:u w:val="none"/>
                </w:rPr>
                <w:t>Merkblatt „Arbeitsmedizinische Vorsorge“</w:t>
              </w:r>
            </w:hyperlink>
            <w:r>
              <w:rPr>
                <w:sz w:val="20"/>
                <w:szCs w:val="20"/>
              </w:rPr>
              <w:t xml:space="preserve"> dargestellten arbeitsmedizinischen Vorsorgen inklusive Untersuchungen (</w:t>
            </w:r>
            <w:r>
              <w:rPr>
                <w:rFonts w:cs="Arial"/>
                <w:sz w:val="20"/>
                <w:szCs w:val="20"/>
                <w:lang w:bidi="or"/>
              </w:rPr>
              <w:t>ggf. Biostoffe/</w:t>
            </w:r>
            <w:r w:rsidRPr="00342515">
              <w:rPr>
                <w:rFonts w:cs="Arial"/>
                <w:sz w:val="20"/>
                <w:szCs w:val="20"/>
                <w:lang w:bidi="or"/>
              </w:rPr>
              <w:t xml:space="preserve">G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42,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 xml:space="preserve">ggf. Hautgefährdung/G </w:t>
            </w:r>
            <w:r w:rsidRPr="00342515">
              <w:rPr>
                <w:rFonts w:cs="Arial"/>
                <w:sz w:val="20"/>
                <w:szCs w:val="20"/>
                <w:lang w:bidi="or"/>
              </w:rPr>
              <w:t>24)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angeboten bzw. veranlasst werden.</w:t>
            </w:r>
          </w:p>
        </w:tc>
        <w:tc>
          <w:tcPr>
            <w:tcW w:w="1276" w:type="dxa"/>
            <w:vAlign w:val="center"/>
          </w:tcPr>
          <w:p w14:paraId="1DE00E4A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90FAA9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ECEDB3" w14:textId="77777777" w:rsidR="00AC0F11" w:rsidRPr="00E6698A" w:rsidRDefault="00AC0F11" w:rsidP="00AC0F11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67D0BB" w14:textId="77777777" w:rsidR="00AC0F11" w:rsidRDefault="00A50F83" w:rsidP="00AC0F11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1996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r w:rsidR="00AC0F11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16936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11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C0F11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7E07B5" w14:paraId="5456F77D" w14:textId="77777777" w:rsidTr="00915897">
        <w:trPr>
          <w:trHeight w:val="1555"/>
        </w:trPr>
        <w:tc>
          <w:tcPr>
            <w:tcW w:w="851" w:type="dxa"/>
            <w:vAlign w:val="center"/>
          </w:tcPr>
          <w:p w14:paraId="37E7C853" w14:textId="37A1B1D8" w:rsidR="007E07B5" w:rsidRPr="002F507C" w:rsidRDefault="007E07B5" w:rsidP="007E07B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21</w:t>
            </w:r>
          </w:p>
        </w:tc>
        <w:tc>
          <w:tcPr>
            <w:tcW w:w="9072" w:type="dxa"/>
            <w:vAlign w:val="center"/>
          </w:tcPr>
          <w:p w14:paraId="51FCF656" w14:textId="50A02EA5" w:rsidR="007E07B5" w:rsidRPr="00E6698A" w:rsidRDefault="007E07B5" w:rsidP="007E07B5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1F56F8">
              <w:rPr>
                <w:sz w:val="20"/>
                <w:szCs w:val="20"/>
              </w:rPr>
              <w:t>In Deutschland besteht grundsätzlich keine Impfplicht (Ausnahme: Masernimpfung).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 xml:space="preserve">Der Praxisinhaber hat die Angestellten über die in Frage kommenden Maßnahmen zur 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 xml:space="preserve">Immunisierung (z.B. Angebot der Hepatitis-B-Schutzimpfung) bei Aufnahme der Tätigkeit und bei gegebener Veranlassung zu unterrichten und zu informieren. Die im Einzelfall gebotenen 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>Maßnahmen zur Immunisierung sind dabei im Einvernehmen mit dem Arzt, der die arbeits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 xml:space="preserve">medizinische Vorsorge durchführt, festzulegen. Eine Ablehnung des Impfangebotes durch die 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>Mitarbeiter sollte schriftlich dokumentiert werden.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 xml:space="preserve">Beschluss des G-BA: Die Kosten für die Immunisierung trägt grundsätzlich die Gesetzliche </w:t>
            </w:r>
            <w:r>
              <w:rPr>
                <w:sz w:val="20"/>
                <w:szCs w:val="20"/>
              </w:rPr>
              <w:br/>
            </w:r>
            <w:r w:rsidRPr="001F56F8">
              <w:rPr>
                <w:sz w:val="20"/>
                <w:szCs w:val="20"/>
              </w:rPr>
              <w:t>Krankenversicherung (GKV). Im Vorfeld der Immunisierung ist die Abklärung der Kostenübernahme durch die GKV zu empfehlen.</w:t>
            </w:r>
          </w:p>
        </w:tc>
        <w:tc>
          <w:tcPr>
            <w:tcW w:w="1276" w:type="dxa"/>
            <w:vAlign w:val="center"/>
          </w:tcPr>
          <w:p w14:paraId="70832771" w14:textId="77777777" w:rsidR="007E07B5" w:rsidRPr="00E6698A" w:rsidRDefault="007E07B5" w:rsidP="007E07B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8D10F6" w14:textId="77777777" w:rsidR="007E07B5" w:rsidRPr="00E6698A" w:rsidRDefault="007E07B5" w:rsidP="007E07B5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09166" w14:textId="77777777" w:rsidR="007E07B5" w:rsidRPr="00E6698A" w:rsidRDefault="007E07B5" w:rsidP="007E07B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466BC69" w14:textId="77777777" w:rsidR="007E07B5" w:rsidRDefault="00A50F83" w:rsidP="007E07B5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47310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E07B5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7E07B5" w:rsidRPr="00910E06">
              <w:rPr>
                <w:rFonts w:cs="Arial"/>
                <w:bCs/>
                <w:sz w:val="18"/>
                <w:szCs w:val="18"/>
              </w:rPr>
              <w:br/>
            </w:r>
            <w:r w:rsidR="007E07B5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396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5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7E07B5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447BE8" w14:paraId="55B2F7CF" w14:textId="77777777" w:rsidTr="00447BE8">
        <w:trPr>
          <w:trHeight w:val="797"/>
        </w:trPr>
        <w:tc>
          <w:tcPr>
            <w:tcW w:w="851" w:type="dxa"/>
            <w:vAlign w:val="center"/>
          </w:tcPr>
          <w:p w14:paraId="479B63D7" w14:textId="0BF9F5A5" w:rsidR="00447BE8" w:rsidRPr="002F507C" w:rsidRDefault="00447BE8" w:rsidP="00447BE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23</w:t>
            </w:r>
            <w:r w:rsidRPr="002F507C">
              <w:rPr>
                <w:rFonts w:cs="Arial"/>
                <w:bCs/>
                <w:sz w:val="16"/>
                <w:szCs w:val="16"/>
              </w:rPr>
              <w:t>.</w:t>
            </w:r>
            <w:r>
              <w:rPr>
                <w:rFonts w:cs="Arial"/>
                <w:bCs/>
                <w:sz w:val="16"/>
                <w:szCs w:val="16"/>
              </w:rPr>
              <w:t>22</w:t>
            </w:r>
          </w:p>
        </w:tc>
        <w:tc>
          <w:tcPr>
            <w:tcW w:w="9072" w:type="dxa"/>
            <w:vAlign w:val="center"/>
          </w:tcPr>
          <w:p w14:paraId="2F521143" w14:textId="452DB28F" w:rsidR="00447BE8" w:rsidRPr="00E6698A" w:rsidRDefault="00447BE8" w:rsidP="00447BE8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CC0730">
              <w:rPr>
                <w:sz w:val="20"/>
                <w:szCs w:val="20"/>
              </w:rPr>
              <w:t>Die Mitarbeiter sind in die Gefährdungen und Schutzmaßnahmen zu unterweisen. Die Unter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CC0730">
              <w:rPr>
                <w:sz w:val="20"/>
                <w:szCs w:val="20"/>
              </w:rPr>
              <w:t>weisung der Praxismitarbeiter hat vor Arbeit</w:t>
            </w:r>
            <w:r>
              <w:rPr>
                <w:sz w:val="20"/>
                <w:szCs w:val="20"/>
              </w:rPr>
              <w:t>s</w:t>
            </w:r>
            <w:r w:rsidRPr="00CC0730">
              <w:rPr>
                <w:sz w:val="20"/>
                <w:szCs w:val="20"/>
              </w:rPr>
              <w:t>aufnahme und anschließend regelmäßig mindestens einmal jährlich statt zu finden (Dokumentation).</w:t>
            </w:r>
          </w:p>
        </w:tc>
        <w:tc>
          <w:tcPr>
            <w:tcW w:w="1276" w:type="dxa"/>
            <w:vAlign w:val="center"/>
          </w:tcPr>
          <w:p w14:paraId="7A6D0F3A" w14:textId="77777777" w:rsidR="00447BE8" w:rsidRPr="00E6698A" w:rsidRDefault="00447BE8" w:rsidP="00447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EE26BF" w14:textId="77777777" w:rsidR="00447BE8" w:rsidRPr="00E6698A" w:rsidRDefault="00447BE8" w:rsidP="00447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513ED5" w14:textId="77777777" w:rsidR="00447BE8" w:rsidRPr="00E6698A" w:rsidRDefault="00447BE8" w:rsidP="00447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E45C39" w14:textId="77777777" w:rsidR="00447BE8" w:rsidRDefault="00A50F83" w:rsidP="00447BE8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130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E8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47BE8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447BE8" w:rsidRPr="00910E06">
              <w:rPr>
                <w:rFonts w:cs="Arial"/>
                <w:bCs/>
                <w:sz w:val="18"/>
                <w:szCs w:val="18"/>
              </w:rPr>
              <w:br/>
            </w:r>
            <w:r w:rsidR="00447BE8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0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E8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47BE8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5AD7BE5A" w14:textId="77777777" w:rsidR="00AC0F11" w:rsidRDefault="00AC0F11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4"/>
      <w:footerReference w:type="default" r:id="rId15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277D9778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F86FAA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6335BD" w:rsidRPr="006335BD">
      <w:rPr>
        <w:sz w:val="20"/>
        <w:szCs w:val="20"/>
      </w:rPr>
      <w:t>Praxislabor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4414FB7B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F86FAA">
      <w:rPr>
        <w:sz w:val="20"/>
        <w:szCs w:val="20"/>
      </w:rPr>
      <w:t>en</w:t>
    </w:r>
    <w:r>
      <w:rPr>
        <w:sz w:val="20"/>
        <w:szCs w:val="20"/>
      </w:rPr>
      <w:t xml:space="preserve"> </w:t>
    </w:r>
    <w:r w:rsidR="00B0564E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6335BD" w:rsidRPr="006335BD">
      <w:rPr>
        <w:sz w:val="20"/>
        <w:szCs w:val="20"/>
      </w:rPr>
      <w:t>Praxislabor</w:t>
    </w:r>
    <w:r w:rsidR="00B0564E">
      <w:rPr>
        <w:sz w:val="20"/>
        <w:szCs w:val="20"/>
      </w:rPr>
      <w:tab/>
    </w:r>
    <w:r w:rsidR="00B0564E">
      <w:rPr>
        <w:sz w:val="20"/>
        <w:szCs w:val="20"/>
      </w:rPr>
      <w:tab/>
    </w:r>
    <w:r w:rsidR="00B0564E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372FB5E1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6335BD" w:rsidRPr="006335BD">
            <w:rPr>
              <w:b/>
              <w:sz w:val="28"/>
            </w:rPr>
            <w:t xml:space="preserve">Praxislabor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1E6"/>
    <w:multiLevelType w:val="hybridMultilevel"/>
    <w:tmpl w:val="54ACC920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1194A"/>
    <w:multiLevelType w:val="hybridMultilevel"/>
    <w:tmpl w:val="CF64C262"/>
    <w:lvl w:ilvl="0" w:tplc="F2EAB8C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8"/>
  </w:num>
  <w:num w:numId="2" w16cid:durableId="723791285">
    <w:abstractNumId w:val="1"/>
  </w:num>
  <w:num w:numId="3" w16cid:durableId="1034891272">
    <w:abstractNumId w:val="2"/>
  </w:num>
  <w:num w:numId="4" w16cid:durableId="1408961156">
    <w:abstractNumId w:val="4"/>
  </w:num>
  <w:num w:numId="5" w16cid:durableId="649597357">
    <w:abstractNumId w:val="6"/>
  </w:num>
  <w:num w:numId="6" w16cid:durableId="1332954129">
    <w:abstractNumId w:val="7"/>
  </w:num>
  <w:num w:numId="7" w16cid:durableId="205143293">
    <w:abstractNumId w:val="3"/>
  </w:num>
  <w:num w:numId="8" w16cid:durableId="1902521608">
    <w:abstractNumId w:val="5"/>
  </w:num>
  <w:num w:numId="9" w16cid:durableId="74849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9EC"/>
    <w:rsid w:val="00040D9D"/>
    <w:rsid w:val="00044635"/>
    <w:rsid w:val="00054628"/>
    <w:rsid w:val="00054D02"/>
    <w:rsid w:val="000668EE"/>
    <w:rsid w:val="00066A98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0F6F14"/>
    <w:rsid w:val="00103132"/>
    <w:rsid w:val="00106554"/>
    <w:rsid w:val="0011347A"/>
    <w:rsid w:val="00114BE2"/>
    <w:rsid w:val="0012332F"/>
    <w:rsid w:val="00126FC2"/>
    <w:rsid w:val="00141ABB"/>
    <w:rsid w:val="00141D01"/>
    <w:rsid w:val="001433E2"/>
    <w:rsid w:val="00157D49"/>
    <w:rsid w:val="00157E7D"/>
    <w:rsid w:val="001635F3"/>
    <w:rsid w:val="001668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C5B60"/>
    <w:rsid w:val="001D2484"/>
    <w:rsid w:val="001D42F5"/>
    <w:rsid w:val="001D6933"/>
    <w:rsid w:val="001E7A02"/>
    <w:rsid w:val="001F3C2A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652"/>
    <w:rsid w:val="002A0CBE"/>
    <w:rsid w:val="002A42AF"/>
    <w:rsid w:val="002A7D2E"/>
    <w:rsid w:val="002B3EE0"/>
    <w:rsid w:val="002C3CCE"/>
    <w:rsid w:val="002C76C3"/>
    <w:rsid w:val="002F4C97"/>
    <w:rsid w:val="002F507C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76471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47BE8"/>
    <w:rsid w:val="00450FF6"/>
    <w:rsid w:val="004634CE"/>
    <w:rsid w:val="0046614B"/>
    <w:rsid w:val="00476DE5"/>
    <w:rsid w:val="004841B2"/>
    <w:rsid w:val="00495573"/>
    <w:rsid w:val="0049700F"/>
    <w:rsid w:val="004C1306"/>
    <w:rsid w:val="004C2856"/>
    <w:rsid w:val="004C580A"/>
    <w:rsid w:val="004D2842"/>
    <w:rsid w:val="004E4E6E"/>
    <w:rsid w:val="004E65F2"/>
    <w:rsid w:val="00504E58"/>
    <w:rsid w:val="00504EEC"/>
    <w:rsid w:val="00512DD3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8102C"/>
    <w:rsid w:val="00596A33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68D"/>
    <w:rsid w:val="00611C7A"/>
    <w:rsid w:val="00615786"/>
    <w:rsid w:val="0061606B"/>
    <w:rsid w:val="00624F2D"/>
    <w:rsid w:val="006335BD"/>
    <w:rsid w:val="00665BDB"/>
    <w:rsid w:val="00671793"/>
    <w:rsid w:val="00691532"/>
    <w:rsid w:val="006A43B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0140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07B5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83762"/>
    <w:rsid w:val="0088705B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0201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29FA"/>
    <w:rsid w:val="009F79AE"/>
    <w:rsid w:val="00A01C8B"/>
    <w:rsid w:val="00A06446"/>
    <w:rsid w:val="00A06AC1"/>
    <w:rsid w:val="00A309DF"/>
    <w:rsid w:val="00A36812"/>
    <w:rsid w:val="00A4312C"/>
    <w:rsid w:val="00A45472"/>
    <w:rsid w:val="00A473D2"/>
    <w:rsid w:val="00A50F83"/>
    <w:rsid w:val="00A558DC"/>
    <w:rsid w:val="00A638B0"/>
    <w:rsid w:val="00A64617"/>
    <w:rsid w:val="00A84323"/>
    <w:rsid w:val="00A93714"/>
    <w:rsid w:val="00AB06FB"/>
    <w:rsid w:val="00AC0F11"/>
    <w:rsid w:val="00AC2A3E"/>
    <w:rsid w:val="00AC651A"/>
    <w:rsid w:val="00AD5AEB"/>
    <w:rsid w:val="00AD6BA0"/>
    <w:rsid w:val="00AF63CB"/>
    <w:rsid w:val="00AF79DC"/>
    <w:rsid w:val="00B0564E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5697B"/>
    <w:rsid w:val="00B61F73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94925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CF4A5B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2E1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86FAA"/>
    <w:rsid w:val="00F90919"/>
    <w:rsid w:val="00F92D72"/>
    <w:rsid w:val="00FA224E"/>
    <w:rsid w:val="00FA5021"/>
    <w:rsid w:val="00FC2714"/>
    <w:rsid w:val="00FC623E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  <w:style w:type="character" w:customStyle="1" w:styleId="text">
    <w:name w:val="text"/>
    <w:basedOn w:val="Absatz-Standardschriftart"/>
    <w:rsid w:val="00A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hb.lzk-bw.de/PHB-CD/QM-Anhang/Merkblaetter/Arbeitsmedizinische_Vorsorge/Arbeitsmedizinische_Vorsorgeuntersuchunge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16</cp:revision>
  <cp:lastPrinted>2025-07-30T06:32:00Z</cp:lastPrinted>
  <dcterms:created xsi:type="dcterms:W3CDTF">2025-07-31T09:57:00Z</dcterms:created>
  <dcterms:modified xsi:type="dcterms:W3CDTF">2025-08-02T09:00:00Z</dcterms:modified>
</cp:coreProperties>
</file>