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146"/>
        <w:gridCol w:w="1146"/>
        <w:gridCol w:w="1146"/>
        <w:gridCol w:w="967"/>
        <w:gridCol w:w="254"/>
        <w:gridCol w:w="1146"/>
        <w:gridCol w:w="1146"/>
        <w:gridCol w:w="1877"/>
      </w:tblGrid>
      <w:tr w:rsidR="00150193" w:rsidRPr="00150193" w14:paraId="26CBE7E0" w14:textId="77777777" w:rsidTr="002D3289">
        <w:tc>
          <w:tcPr>
            <w:tcW w:w="5642" w:type="dxa"/>
            <w:gridSpan w:val="5"/>
            <w:shd w:val="clear" w:color="auto" w:fill="auto"/>
          </w:tcPr>
          <w:p w14:paraId="58012555" w14:textId="731AF082" w:rsidR="00150193" w:rsidRPr="00150193" w:rsidRDefault="00150193" w:rsidP="00150193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Verfahrens</w:t>
            </w:r>
            <w:r w:rsidRPr="00150193">
              <w:rPr>
                <w:rFonts w:eastAsia="Times New Roman"/>
                <w:b/>
                <w:sz w:val="24"/>
                <w:szCs w:val="24"/>
              </w:rPr>
              <w:t>anweisung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431E8">
              <w:rPr>
                <w:rFonts w:eastAsia="Times New Roman"/>
                <w:b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V</w:t>
            </w:r>
            <w:r w:rsidRPr="00150193">
              <w:rPr>
                <w:rFonts w:eastAsia="Times New Roman"/>
                <w:b/>
                <w:sz w:val="24"/>
                <w:szCs w:val="24"/>
              </w:rPr>
              <w:t xml:space="preserve">A </w:t>
            </w:r>
            <w:r w:rsidR="00856635">
              <w:rPr>
                <w:rFonts w:eastAsia="Times New Roman"/>
                <w:b/>
                <w:sz w:val="24"/>
                <w:szCs w:val="24"/>
              </w:rPr>
              <w:t xml:space="preserve">A </w:t>
            </w:r>
            <w:r w:rsidRPr="00150193">
              <w:rPr>
                <w:rFonts w:eastAsia="Times New Roman"/>
                <w:b/>
                <w:sz w:val="24"/>
                <w:szCs w:val="24"/>
              </w:rPr>
              <w:t>0</w:t>
            </w:r>
            <w:r w:rsidR="002D3289">
              <w:rPr>
                <w:rFonts w:eastAsia="Times New Roman"/>
                <w:b/>
                <w:sz w:val="24"/>
                <w:szCs w:val="24"/>
              </w:rPr>
              <w:t>2</w:t>
            </w:r>
          </w:p>
          <w:p w14:paraId="3F021FB2" w14:textId="77777777" w:rsidR="00150193" w:rsidRPr="00150193" w:rsidRDefault="00150193" w:rsidP="00150193">
            <w:pPr>
              <w:rPr>
                <w:rFonts w:eastAsia="Times New Roman"/>
                <w:b/>
              </w:rPr>
            </w:pPr>
          </w:p>
          <w:p w14:paraId="4F86C621" w14:textId="77777777" w:rsidR="00D939BC" w:rsidRPr="00D939BC" w:rsidRDefault="00D939BC" w:rsidP="00D939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D939BC">
              <w:rPr>
                <w:rFonts w:eastAsia="Times New Roman"/>
                <w:b/>
                <w:i/>
                <w:sz w:val="20"/>
                <w:szCs w:val="20"/>
              </w:rPr>
              <w:t xml:space="preserve">Unfälle (Arbeits- und Wegeunfälle) und </w:t>
            </w:r>
          </w:p>
          <w:p w14:paraId="006BD15C" w14:textId="77777777" w:rsidR="009342C7" w:rsidRDefault="00D939BC" w:rsidP="00D939BC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D939BC">
              <w:rPr>
                <w:rFonts w:eastAsia="Times New Roman"/>
                <w:b/>
                <w:i/>
                <w:sz w:val="20"/>
                <w:szCs w:val="20"/>
              </w:rPr>
              <w:t>Psychische Beeinträchtigungen - Was ist zu tun?</w:t>
            </w:r>
          </w:p>
          <w:p w14:paraId="434B6314" w14:textId="77777777" w:rsidR="009342C7" w:rsidRPr="001A1D04" w:rsidRDefault="009342C7" w:rsidP="009342C7">
            <w:pPr>
              <w:rPr>
                <w:rFonts w:eastAsia="Times New Roman"/>
                <w:b/>
                <w:i/>
                <w:sz w:val="20"/>
                <w:szCs w:val="20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14:paraId="3E24D9FF" w14:textId="77777777" w:rsidR="00150193" w:rsidRPr="00F2120C" w:rsidRDefault="00150193" w:rsidP="00150193">
            <w:pPr>
              <w:rPr>
                <w:rFonts w:eastAsia="Times New Roman"/>
                <w:sz w:val="20"/>
                <w:szCs w:val="20"/>
              </w:rPr>
            </w:pPr>
            <w:r w:rsidRPr="00150193">
              <w:rPr>
                <w:rFonts w:eastAsia="Times New Roman"/>
                <w:i/>
                <w:sz w:val="20"/>
                <w:szCs w:val="20"/>
              </w:rPr>
              <w:t>Praxis:</w:t>
            </w:r>
          </w:p>
        </w:tc>
      </w:tr>
      <w:tr w:rsidR="00150193" w:rsidRPr="00150193" w14:paraId="28880D8C" w14:textId="77777777" w:rsidTr="002D3289">
        <w:tc>
          <w:tcPr>
            <w:tcW w:w="10065" w:type="dxa"/>
            <w:gridSpan w:val="9"/>
            <w:shd w:val="clear" w:color="auto" w:fill="auto"/>
          </w:tcPr>
          <w:p w14:paraId="778B46DA" w14:textId="77777777" w:rsidR="00150193" w:rsidRPr="00150193" w:rsidRDefault="00150193" w:rsidP="00150193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 w:rsidRPr="00150193">
              <w:rPr>
                <w:rFonts w:eastAsia="Times New Roman"/>
                <w:b/>
                <w:sz w:val="20"/>
                <w:szCs w:val="20"/>
              </w:rPr>
              <w:t>Tätigkeit:</w:t>
            </w:r>
          </w:p>
          <w:p w14:paraId="352A082A" w14:textId="7B1B018A" w:rsidR="00150193" w:rsidRPr="00150193" w:rsidRDefault="00D939BC" w:rsidP="00D939BC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 w:rsidRPr="00D939BC">
              <w:rPr>
                <w:rFonts w:eastAsia="Times New Roman"/>
                <w:b/>
                <w:sz w:val="20"/>
                <w:szCs w:val="20"/>
              </w:rPr>
              <w:t xml:space="preserve">Vorgehensweise </w:t>
            </w:r>
            <w:r w:rsidR="009960B3">
              <w:rPr>
                <w:rFonts w:eastAsia="Times New Roman"/>
                <w:b/>
                <w:sz w:val="20"/>
                <w:szCs w:val="20"/>
              </w:rPr>
              <w:t>nach</w:t>
            </w:r>
            <w:r w:rsidRPr="00D939BC">
              <w:rPr>
                <w:rFonts w:eastAsia="Times New Roman"/>
                <w:b/>
                <w:sz w:val="20"/>
                <w:szCs w:val="20"/>
              </w:rPr>
              <w:t xml:space="preserve"> einem Unfall (Arbeits- und Wegeunfall) und bei psychischen Beeinträchtigungen</w:t>
            </w:r>
          </w:p>
        </w:tc>
      </w:tr>
      <w:tr w:rsidR="00150193" w:rsidRPr="00150193" w14:paraId="24111B79" w14:textId="77777777" w:rsidTr="002D3289">
        <w:tc>
          <w:tcPr>
            <w:tcW w:w="56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7C88FB" w14:textId="77777777" w:rsidR="00150193" w:rsidRPr="00150193" w:rsidRDefault="00150193" w:rsidP="00150193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 w:rsidRPr="00150193">
              <w:rPr>
                <w:rFonts w:eastAsia="Times New Roman"/>
                <w:b/>
                <w:sz w:val="20"/>
                <w:szCs w:val="20"/>
              </w:rPr>
              <w:t>Geltungsbereich:</w:t>
            </w:r>
          </w:p>
          <w:p w14:paraId="729FC5D8" w14:textId="77777777" w:rsidR="00150193" w:rsidRPr="00150193" w:rsidRDefault="00150193" w:rsidP="00150193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Praxis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75E64D" w14:textId="77777777" w:rsidR="00150193" w:rsidRPr="00150193" w:rsidRDefault="00150193" w:rsidP="00150193">
            <w:pPr>
              <w:spacing w:before="60" w:after="60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150193" w:rsidRPr="00150193" w14:paraId="24C9D445" w14:textId="77777777" w:rsidTr="002D3289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F57C268" w14:textId="77777777" w:rsidR="00150193" w:rsidRPr="00575167" w:rsidRDefault="00150193" w:rsidP="00856635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 w:rsidRPr="00575167">
              <w:rPr>
                <w:rFonts w:eastAsia="Times New Roman"/>
                <w:b/>
                <w:sz w:val="20"/>
                <w:szCs w:val="18"/>
              </w:rPr>
              <w:t>Wer?</w:t>
            </w:r>
            <w:r w:rsidRPr="00575167">
              <w:rPr>
                <w:rFonts w:eastAsia="Times New Roman"/>
                <w:sz w:val="20"/>
                <w:szCs w:val="18"/>
              </w:rPr>
              <w:t xml:space="preserve"> </w:t>
            </w:r>
            <w:r w:rsidR="00D939BC">
              <w:rPr>
                <w:rFonts w:eastAsia="Times New Roman"/>
                <w:sz w:val="20"/>
                <w:szCs w:val="18"/>
              </w:rPr>
              <w:t>Praxisinhaberin/</w:t>
            </w:r>
            <w:r w:rsidR="00D939BC" w:rsidRPr="002D375B">
              <w:rPr>
                <w:rFonts w:eastAsia="Times New Roman"/>
                <w:sz w:val="20"/>
                <w:szCs w:val="18"/>
              </w:rPr>
              <w:t xml:space="preserve">Praxisinhaber und </w:t>
            </w:r>
            <w:r w:rsidR="00D939BC" w:rsidRPr="00D432C7">
              <w:rPr>
                <w:rFonts w:eastAsia="Times New Roman"/>
                <w:sz w:val="20"/>
                <w:szCs w:val="18"/>
              </w:rPr>
              <w:t>Praxismitarbeiterin</w:t>
            </w:r>
            <w:r w:rsidR="00D939BC">
              <w:rPr>
                <w:rFonts w:eastAsia="Times New Roman"/>
                <w:sz w:val="20"/>
                <w:szCs w:val="18"/>
              </w:rPr>
              <w:t>nen</w:t>
            </w:r>
            <w:r w:rsidR="00D939BC" w:rsidRPr="00D432C7">
              <w:rPr>
                <w:rFonts w:eastAsia="Times New Roman"/>
                <w:sz w:val="20"/>
                <w:szCs w:val="18"/>
              </w:rPr>
              <w:t>/Praxismitarbeiter</w:t>
            </w:r>
          </w:p>
        </w:tc>
      </w:tr>
      <w:tr w:rsidR="001A1D04" w:rsidRPr="00150193" w14:paraId="6E147ADF" w14:textId="77777777" w:rsidTr="002D3289">
        <w:tc>
          <w:tcPr>
            <w:tcW w:w="1006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DE10F4A" w14:textId="77777777" w:rsidR="001A1D04" w:rsidRPr="00575167" w:rsidRDefault="001A1D04" w:rsidP="00F2120C">
            <w:pPr>
              <w:spacing w:before="60" w:after="60"/>
              <w:rPr>
                <w:rFonts w:eastAsia="Times New Roman"/>
                <w:b/>
                <w:sz w:val="20"/>
                <w:szCs w:val="18"/>
              </w:rPr>
            </w:pPr>
            <w:r w:rsidRPr="00575167">
              <w:rPr>
                <w:b/>
                <w:sz w:val="20"/>
                <w:szCs w:val="18"/>
              </w:rPr>
              <w:t xml:space="preserve">Versions-Nr.: </w:t>
            </w:r>
          </w:p>
        </w:tc>
      </w:tr>
      <w:tr w:rsidR="00150193" w:rsidRPr="00150193" w14:paraId="707B3E6A" w14:textId="77777777" w:rsidTr="002D3289">
        <w:tc>
          <w:tcPr>
            <w:tcW w:w="1006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BAB9EB" w14:textId="77777777" w:rsidR="00150193" w:rsidRPr="00150193" w:rsidRDefault="00150193" w:rsidP="00150193">
            <w:pPr>
              <w:rPr>
                <w:rFonts w:eastAsia="Times New Roman"/>
                <w:sz w:val="2"/>
                <w:szCs w:val="2"/>
              </w:rPr>
            </w:pPr>
          </w:p>
        </w:tc>
      </w:tr>
      <w:tr w:rsidR="00150193" w:rsidRPr="00150193" w14:paraId="03A5F587" w14:textId="77777777" w:rsidTr="002D3289">
        <w:tblPrEx>
          <w:tblBorders>
            <w:bottom w:val="single" w:sz="4" w:space="0" w:color="auto"/>
          </w:tblBorders>
        </w:tblPrEx>
        <w:tc>
          <w:tcPr>
            <w:tcW w:w="1237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</w:tcPr>
          <w:p w14:paraId="431664BD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D2386CB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i/>
                <w:sz w:val="10"/>
                <w:szCs w:val="10"/>
              </w:rPr>
            </w:pPr>
            <w:r w:rsidRPr="00150193">
              <w:rPr>
                <w:rFonts w:eastAsia="Times New Roman"/>
                <w:i/>
                <w:sz w:val="10"/>
                <w:szCs w:val="10"/>
              </w:rPr>
              <w:t>Mitarbeiter/in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F6F54E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B2DB03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i/>
                <w:sz w:val="10"/>
                <w:szCs w:val="10"/>
              </w:rPr>
            </w:pPr>
            <w:r w:rsidRPr="00150193">
              <w:rPr>
                <w:rFonts w:eastAsia="Times New Roman"/>
                <w:i/>
                <w:sz w:val="10"/>
                <w:szCs w:val="10"/>
              </w:rPr>
              <w:t>Mitarbeiter/in</w:t>
            </w:r>
          </w:p>
        </w:tc>
        <w:tc>
          <w:tcPr>
            <w:tcW w:w="1221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2CD0F23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</w:p>
        </w:tc>
        <w:tc>
          <w:tcPr>
            <w:tcW w:w="114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FCA623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i/>
                <w:sz w:val="10"/>
                <w:szCs w:val="10"/>
              </w:rPr>
            </w:pPr>
            <w:r w:rsidRPr="00150193">
              <w:rPr>
                <w:rFonts w:eastAsia="Times New Roman"/>
                <w:i/>
                <w:sz w:val="10"/>
                <w:szCs w:val="10"/>
              </w:rPr>
              <w:t>QM-Beauftragte</w:t>
            </w:r>
          </w:p>
        </w:tc>
        <w:tc>
          <w:tcPr>
            <w:tcW w:w="1146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25DFA5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01A1B9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i/>
                <w:sz w:val="10"/>
                <w:szCs w:val="10"/>
              </w:rPr>
            </w:pPr>
            <w:r w:rsidRPr="00150193">
              <w:rPr>
                <w:rFonts w:eastAsia="Times New Roman"/>
                <w:i/>
                <w:sz w:val="10"/>
                <w:szCs w:val="10"/>
              </w:rPr>
              <w:t>Praxisinhaber/in</w:t>
            </w:r>
          </w:p>
        </w:tc>
      </w:tr>
      <w:tr w:rsidR="00150193" w:rsidRPr="00150193" w14:paraId="5F4E8A3D" w14:textId="77777777" w:rsidTr="002D3289">
        <w:tblPrEx>
          <w:tblBorders>
            <w:bottom w:val="single" w:sz="4" w:space="0" w:color="auto"/>
          </w:tblBorders>
        </w:tblPrEx>
        <w:tc>
          <w:tcPr>
            <w:tcW w:w="1237" w:type="dxa"/>
            <w:shd w:val="clear" w:color="auto" w:fill="auto"/>
          </w:tcPr>
          <w:p w14:paraId="10C8DBD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Erstellt von:</w:t>
            </w:r>
          </w:p>
        </w:tc>
        <w:tc>
          <w:tcPr>
            <w:tcW w:w="1146" w:type="dxa"/>
            <w:shd w:val="clear" w:color="auto" w:fill="auto"/>
          </w:tcPr>
          <w:p w14:paraId="04A5950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5F52040E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Aktualisiert von:</w:t>
            </w:r>
          </w:p>
        </w:tc>
        <w:tc>
          <w:tcPr>
            <w:tcW w:w="1146" w:type="dxa"/>
            <w:shd w:val="clear" w:color="auto" w:fill="auto"/>
          </w:tcPr>
          <w:p w14:paraId="68726BDE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08A11B3D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Geprüft von:</w:t>
            </w:r>
          </w:p>
        </w:tc>
        <w:tc>
          <w:tcPr>
            <w:tcW w:w="1146" w:type="dxa"/>
            <w:shd w:val="clear" w:color="auto" w:fill="auto"/>
          </w:tcPr>
          <w:p w14:paraId="279EA2BE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</w:tcPr>
          <w:p w14:paraId="0BD6139D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Freigegeben von:</w:t>
            </w:r>
          </w:p>
        </w:tc>
        <w:tc>
          <w:tcPr>
            <w:tcW w:w="1877" w:type="dxa"/>
            <w:shd w:val="clear" w:color="auto" w:fill="auto"/>
          </w:tcPr>
          <w:p w14:paraId="2EBB378B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</w:tr>
      <w:tr w:rsidR="00150193" w:rsidRPr="00150193" w14:paraId="6EA0472B" w14:textId="77777777" w:rsidTr="002D3289">
        <w:tblPrEx>
          <w:tblBorders>
            <w:bottom w:val="single" w:sz="4" w:space="0" w:color="auto"/>
          </w:tblBorders>
        </w:tblPrEx>
        <w:tc>
          <w:tcPr>
            <w:tcW w:w="1237" w:type="dxa"/>
            <w:shd w:val="clear" w:color="auto" w:fill="auto"/>
            <w:vAlign w:val="center"/>
          </w:tcPr>
          <w:p w14:paraId="631A2F95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7EA056C5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82DB62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B105DA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221" w:type="dxa"/>
            <w:gridSpan w:val="2"/>
            <w:shd w:val="clear" w:color="auto" w:fill="auto"/>
            <w:vAlign w:val="center"/>
          </w:tcPr>
          <w:p w14:paraId="6E3A4B51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Datum: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D685B6F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78898A7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b/>
                <w:sz w:val="10"/>
                <w:szCs w:val="10"/>
              </w:rPr>
            </w:pPr>
            <w:r w:rsidRPr="00150193">
              <w:rPr>
                <w:rFonts w:eastAsia="Times New Roman"/>
                <w:b/>
                <w:sz w:val="10"/>
                <w:szCs w:val="10"/>
              </w:rPr>
              <w:t>Datum: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0E5504A8" w14:textId="77777777" w:rsidR="00150193" w:rsidRPr="00150193" w:rsidRDefault="00150193" w:rsidP="00150193">
            <w:pPr>
              <w:spacing w:before="120" w:after="120"/>
              <w:rPr>
                <w:rFonts w:eastAsia="Times New Roman"/>
                <w:sz w:val="10"/>
                <w:szCs w:val="10"/>
              </w:rPr>
            </w:pPr>
            <w:r w:rsidRPr="00150193">
              <w:rPr>
                <w:rFonts w:eastAsia="Times New Roman"/>
                <w:sz w:val="10"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0193">
              <w:rPr>
                <w:rFonts w:eastAsia="Times New Roman"/>
                <w:sz w:val="10"/>
                <w:szCs w:val="10"/>
              </w:rPr>
              <w:instrText xml:space="preserve"> FORMTEXT </w:instrText>
            </w:r>
            <w:r w:rsidRPr="00150193">
              <w:rPr>
                <w:rFonts w:eastAsia="Times New Roman"/>
                <w:sz w:val="10"/>
                <w:szCs w:val="10"/>
              </w:rPr>
            </w:r>
            <w:r w:rsidRPr="00150193">
              <w:rPr>
                <w:rFonts w:eastAsia="Times New Roman"/>
                <w:sz w:val="10"/>
                <w:szCs w:val="10"/>
              </w:rPr>
              <w:fldChar w:fldCharType="separate"/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noProof/>
                <w:sz w:val="10"/>
                <w:szCs w:val="10"/>
              </w:rPr>
              <w:t> </w:t>
            </w:r>
            <w:r w:rsidRPr="00150193">
              <w:rPr>
                <w:rFonts w:eastAsia="Times New Roman"/>
                <w:sz w:val="10"/>
                <w:szCs w:val="10"/>
              </w:rPr>
              <w:fldChar w:fldCharType="end"/>
            </w:r>
          </w:p>
        </w:tc>
      </w:tr>
    </w:tbl>
    <w:p w14:paraId="15D727EC" w14:textId="77777777" w:rsidR="00E96DBC" w:rsidRDefault="00E96DBC" w:rsidP="00150193">
      <w:pPr>
        <w:rPr>
          <w:rFonts w:eastAsia="Times New Roman"/>
          <w:sz w:val="20"/>
          <w:szCs w:val="20"/>
        </w:rPr>
      </w:pPr>
    </w:p>
    <w:p w14:paraId="7A234067" w14:textId="77777777" w:rsidR="004E3905" w:rsidRPr="002D375B" w:rsidRDefault="004E3905" w:rsidP="004E3905">
      <w:pPr>
        <w:jc w:val="both"/>
        <w:rPr>
          <w:rFonts w:eastAsia="Times New Roman"/>
          <w:sz w:val="20"/>
          <w:szCs w:val="20"/>
        </w:rPr>
      </w:pPr>
    </w:p>
    <w:p w14:paraId="356AAE0C" w14:textId="77777777" w:rsidR="004E3905" w:rsidRPr="00D200B7" w:rsidRDefault="004E3905" w:rsidP="004E3905">
      <w:pPr>
        <w:jc w:val="both"/>
        <w:rPr>
          <w:b/>
          <w:bCs/>
          <w:sz w:val="24"/>
          <w:szCs w:val="24"/>
        </w:rPr>
      </w:pPr>
      <w:r w:rsidRPr="00D200B7">
        <w:rPr>
          <w:b/>
          <w:bCs/>
          <w:sz w:val="24"/>
          <w:szCs w:val="24"/>
        </w:rPr>
        <w:t>Allgemeine Informationen und Versicherungsschutz</w:t>
      </w:r>
    </w:p>
    <w:p w14:paraId="58A3DB4C" w14:textId="77777777" w:rsidR="004E3905" w:rsidRPr="00DC78EF" w:rsidRDefault="004E3905" w:rsidP="004E3905">
      <w:pPr>
        <w:jc w:val="both"/>
        <w:rPr>
          <w:color w:val="333333"/>
          <w:sz w:val="20"/>
          <w:szCs w:val="21"/>
        </w:rPr>
      </w:pPr>
    </w:p>
    <w:p w14:paraId="2120E3C1" w14:textId="77777777" w:rsidR="00DC78EF" w:rsidRDefault="004E3905" w:rsidP="004E3905">
      <w:pPr>
        <w:jc w:val="both"/>
        <w:rPr>
          <w:color w:val="333333"/>
          <w:sz w:val="20"/>
          <w:szCs w:val="21"/>
        </w:rPr>
      </w:pPr>
      <w:r w:rsidRPr="00DC78EF">
        <w:rPr>
          <w:color w:val="333333"/>
          <w:sz w:val="20"/>
          <w:szCs w:val="21"/>
        </w:rPr>
        <w:t xml:space="preserve">Ein Arbeitsunfall ist ein Unfall, den eine versicherte Person infolge ihrer versicherten Tätigkeit erleidet, </w:t>
      </w:r>
      <w:r w:rsidR="000B604E">
        <w:rPr>
          <w:color w:val="333333"/>
          <w:sz w:val="20"/>
          <w:szCs w:val="21"/>
        </w:rPr>
        <w:br/>
      </w:r>
      <w:r w:rsidRPr="00DC78EF">
        <w:rPr>
          <w:color w:val="333333"/>
          <w:sz w:val="20"/>
          <w:szCs w:val="21"/>
        </w:rPr>
        <w:t>insbesondere Unfälle von Beschäftigten bei der Arbeit.</w:t>
      </w:r>
    </w:p>
    <w:p w14:paraId="05CE213C" w14:textId="4C840730" w:rsidR="004E3905" w:rsidRPr="00DC78EF" w:rsidRDefault="004E3905" w:rsidP="004E3905">
      <w:pPr>
        <w:jc w:val="both"/>
        <w:rPr>
          <w:color w:val="333333"/>
          <w:sz w:val="20"/>
          <w:szCs w:val="21"/>
        </w:rPr>
      </w:pPr>
      <w:r w:rsidRPr="00DC78EF">
        <w:rPr>
          <w:color w:val="333333"/>
          <w:sz w:val="20"/>
          <w:szCs w:val="21"/>
        </w:rPr>
        <w:t xml:space="preserve">Unter den Versicherungsschutz fallen auch Wegeunfälle. </w:t>
      </w:r>
      <w:hyperlink r:id="rId8" w:history="1">
        <w:r w:rsidRPr="006A3074">
          <w:rPr>
            <w:rStyle w:val="Hyperlink"/>
            <w:rFonts w:eastAsia="Times"/>
          </w:rPr>
          <w:t xml:space="preserve">Diese ereignen sich auf dem „direkten“ Weg zur </w:t>
        </w:r>
        <w:r w:rsidR="000B604E" w:rsidRPr="006A3074">
          <w:rPr>
            <w:rStyle w:val="Hyperlink"/>
            <w:rFonts w:eastAsia="Times"/>
          </w:rPr>
          <w:br/>
        </w:r>
        <w:r w:rsidRPr="006A3074">
          <w:rPr>
            <w:rStyle w:val="Hyperlink"/>
            <w:rFonts w:eastAsia="Times"/>
          </w:rPr>
          <w:t>versicherten Tätigkeit (Arbeitsstätte/Praxis) oder auf dem Rückweg (Wohnstätte).</w:t>
        </w:r>
      </w:hyperlink>
    </w:p>
    <w:p w14:paraId="4FDD9E2A" w14:textId="7F46E0F7" w:rsidR="004E3905" w:rsidRPr="006A3074" w:rsidRDefault="00D03DE8" w:rsidP="004E3905">
      <w:pPr>
        <w:jc w:val="both"/>
        <w:rPr>
          <w:rStyle w:val="Hyperlink"/>
          <w:rFonts w:eastAsia="Times"/>
        </w:rPr>
      </w:pPr>
      <w:hyperlink r:id="rId9" w:history="1">
        <w:r w:rsidR="004E3905" w:rsidRPr="006A3074">
          <w:rPr>
            <w:rStyle w:val="Hyperlink"/>
            <w:rFonts w:eastAsia="Times"/>
          </w:rPr>
          <w:t>Auch bei psychischen Beeinträchtigungen durch schwerwiegende Ereignisse, wie etwa nach Unfällen, hilft die Berufsgenossenschaft für Gesundheitsdienst und Wohlfahrtspflege (BGW) weiter</w:t>
        </w:r>
      </w:hyperlink>
      <w:r w:rsidR="004E3905" w:rsidRPr="006A3074">
        <w:rPr>
          <w:rStyle w:val="Hyperlink"/>
          <w:rFonts w:eastAsia="Times"/>
        </w:rPr>
        <w:t>.</w:t>
      </w:r>
    </w:p>
    <w:p w14:paraId="040980E9" w14:textId="77777777" w:rsidR="004E3905" w:rsidRPr="00DC78EF" w:rsidRDefault="004E3905" w:rsidP="004E3905">
      <w:pPr>
        <w:jc w:val="both"/>
        <w:rPr>
          <w:color w:val="333333"/>
          <w:sz w:val="20"/>
          <w:szCs w:val="21"/>
        </w:rPr>
      </w:pPr>
    </w:p>
    <w:p w14:paraId="7BA32157" w14:textId="77777777" w:rsidR="004E3905" w:rsidRPr="00E75F28" w:rsidRDefault="004E3905" w:rsidP="004E3905">
      <w:pPr>
        <w:jc w:val="both"/>
        <w:rPr>
          <w:i/>
          <w:iCs/>
          <w:sz w:val="20"/>
          <w:szCs w:val="20"/>
          <w:u w:val="single"/>
        </w:rPr>
      </w:pPr>
      <w:r w:rsidRPr="00E75F28">
        <w:rPr>
          <w:i/>
          <w:iCs/>
          <w:sz w:val="20"/>
          <w:szCs w:val="20"/>
          <w:u w:val="single"/>
        </w:rPr>
        <w:t>Versicherungsschutz</w:t>
      </w:r>
      <w:r w:rsidR="00E75F28" w:rsidRPr="00E75F28">
        <w:rPr>
          <w:i/>
          <w:iCs/>
          <w:sz w:val="20"/>
          <w:szCs w:val="20"/>
          <w:u w:val="single"/>
        </w:rPr>
        <w:t>:</w:t>
      </w:r>
    </w:p>
    <w:p w14:paraId="3C42F760" w14:textId="77777777" w:rsidR="004E3905" w:rsidRPr="002D375B" w:rsidRDefault="004E3905" w:rsidP="004E3905">
      <w:pPr>
        <w:jc w:val="both"/>
        <w:rPr>
          <w:sz w:val="20"/>
          <w:szCs w:val="20"/>
        </w:rPr>
      </w:pPr>
      <w:r w:rsidRPr="002D375B">
        <w:rPr>
          <w:sz w:val="20"/>
          <w:szCs w:val="20"/>
        </w:rPr>
        <w:t>Arbeitsunfälle, Wegeunfälle und auch psychische Beeinträchtigungen durch schwerwiegende Ereignisse fallen unter den Versicherungsschutz der BGW.</w:t>
      </w:r>
    </w:p>
    <w:p w14:paraId="7018DF96" w14:textId="77777777" w:rsidR="00856635" w:rsidRDefault="00856635" w:rsidP="00283EB9">
      <w:pPr>
        <w:jc w:val="both"/>
        <w:rPr>
          <w:color w:val="333333"/>
          <w:sz w:val="20"/>
          <w:szCs w:val="21"/>
        </w:rPr>
      </w:pPr>
    </w:p>
    <w:p w14:paraId="054662CD" w14:textId="77777777" w:rsidR="00792927" w:rsidRPr="00D200B7" w:rsidRDefault="00792927" w:rsidP="00283EB9">
      <w:pPr>
        <w:jc w:val="both"/>
        <w:rPr>
          <w:bCs/>
          <w:color w:val="333333"/>
          <w:sz w:val="20"/>
          <w:szCs w:val="21"/>
        </w:rPr>
      </w:pPr>
    </w:p>
    <w:p w14:paraId="7848F5C3" w14:textId="77777777" w:rsidR="00D200B7" w:rsidRPr="00E75F28" w:rsidRDefault="00856635" w:rsidP="00283EB9">
      <w:pPr>
        <w:jc w:val="both"/>
        <w:rPr>
          <w:i/>
          <w:iCs/>
          <w:sz w:val="20"/>
          <w:szCs w:val="20"/>
          <w:u w:val="single"/>
        </w:rPr>
      </w:pPr>
      <w:r w:rsidRPr="00E75F28">
        <w:rPr>
          <w:i/>
          <w:iCs/>
          <w:sz w:val="20"/>
          <w:szCs w:val="20"/>
          <w:u w:val="single"/>
        </w:rPr>
        <w:t>Mittel zur Ersten Hilfe:</w:t>
      </w:r>
    </w:p>
    <w:p w14:paraId="220928E3" w14:textId="77777777" w:rsidR="00856635" w:rsidRDefault="004A11E5" w:rsidP="00283EB9">
      <w:pPr>
        <w:jc w:val="both"/>
        <w:rPr>
          <w:color w:val="333333"/>
          <w:sz w:val="20"/>
          <w:szCs w:val="21"/>
        </w:rPr>
      </w:pPr>
      <w:r>
        <w:rPr>
          <w:color w:val="333333"/>
          <w:sz w:val="20"/>
          <w:szCs w:val="21"/>
        </w:rPr>
        <w:t xml:space="preserve">Erste-Hilfe-Material ist in Verbandkästen oder anderen geeigneten Behältnissen vorzuhalten. Die Mindestanzahl der bereitzuhaltenden Verbandkästen ergibt sich </w:t>
      </w:r>
      <w:r w:rsidR="003C08C4">
        <w:rPr>
          <w:color w:val="333333"/>
          <w:sz w:val="20"/>
          <w:szCs w:val="21"/>
        </w:rPr>
        <w:t>gemäß ASR A4.3 in</w:t>
      </w:r>
      <w:r>
        <w:rPr>
          <w:color w:val="333333"/>
          <w:sz w:val="20"/>
          <w:szCs w:val="21"/>
        </w:rPr>
        <w:t xml:space="preserve"> folgender Tabelle.</w:t>
      </w:r>
    </w:p>
    <w:p w14:paraId="5472476F" w14:textId="77777777" w:rsidR="00B456BA" w:rsidRDefault="00B456BA" w:rsidP="00283EB9">
      <w:pPr>
        <w:jc w:val="both"/>
        <w:rPr>
          <w:color w:val="333333"/>
          <w:sz w:val="20"/>
          <w:szCs w:val="21"/>
        </w:rPr>
      </w:pPr>
    </w:p>
    <w:p w14:paraId="3F2B454A" w14:textId="77777777" w:rsidR="004A11E5" w:rsidRDefault="004A11E5" w:rsidP="00283EB9">
      <w:pPr>
        <w:jc w:val="both"/>
        <w:rPr>
          <w:color w:val="333333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4A11E5" w:rsidRPr="00F9698C" w14:paraId="6CAA577C" w14:textId="77777777" w:rsidTr="00F9698C">
        <w:trPr>
          <w:trHeight w:val="62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7A0E0B29" w14:textId="77777777" w:rsidR="004A11E5" w:rsidRPr="00F9698C" w:rsidRDefault="004A11E5" w:rsidP="00F9698C">
            <w:pPr>
              <w:jc w:val="both"/>
              <w:rPr>
                <w:b/>
                <w:color w:val="333333"/>
                <w:sz w:val="20"/>
                <w:szCs w:val="21"/>
              </w:rPr>
            </w:pPr>
            <w:r w:rsidRPr="00F9698C">
              <w:rPr>
                <w:b/>
                <w:color w:val="333333"/>
                <w:sz w:val="20"/>
                <w:szCs w:val="21"/>
              </w:rPr>
              <w:t>Zahl der Beschäftigten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7CF1796" w14:textId="77777777" w:rsidR="004A11E5" w:rsidRPr="00F9698C" w:rsidRDefault="004A11E5" w:rsidP="00F9698C">
            <w:pPr>
              <w:jc w:val="center"/>
              <w:rPr>
                <w:b/>
                <w:color w:val="333333"/>
                <w:sz w:val="20"/>
                <w:szCs w:val="21"/>
              </w:rPr>
            </w:pPr>
            <w:r w:rsidRPr="00F9698C">
              <w:rPr>
                <w:b/>
                <w:color w:val="333333"/>
                <w:sz w:val="20"/>
                <w:szCs w:val="21"/>
              </w:rPr>
              <w:t>Kleiner Verbandkasten</w:t>
            </w:r>
          </w:p>
          <w:p w14:paraId="2EC89A5A" w14:textId="77777777" w:rsidR="004A11E5" w:rsidRPr="00F9698C" w:rsidRDefault="004A11E5" w:rsidP="00F9698C">
            <w:pPr>
              <w:jc w:val="center"/>
              <w:rPr>
                <w:b/>
                <w:color w:val="333333"/>
                <w:sz w:val="20"/>
                <w:szCs w:val="21"/>
              </w:rPr>
            </w:pPr>
            <w:r w:rsidRPr="00F9698C">
              <w:rPr>
                <w:b/>
                <w:color w:val="333333"/>
                <w:sz w:val="20"/>
                <w:szCs w:val="21"/>
              </w:rPr>
              <w:t>(DIN 13157)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0D645C3" w14:textId="77777777" w:rsidR="004A11E5" w:rsidRPr="00F9698C" w:rsidRDefault="004A11E5" w:rsidP="00F9698C">
            <w:pPr>
              <w:jc w:val="center"/>
              <w:rPr>
                <w:b/>
                <w:color w:val="333333"/>
                <w:sz w:val="20"/>
                <w:szCs w:val="21"/>
              </w:rPr>
            </w:pPr>
            <w:r w:rsidRPr="00F9698C">
              <w:rPr>
                <w:b/>
                <w:color w:val="333333"/>
                <w:sz w:val="20"/>
                <w:szCs w:val="21"/>
              </w:rPr>
              <w:t>Großer Verbandkasten</w:t>
            </w:r>
          </w:p>
          <w:p w14:paraId="173F263B" w14:textId="77777777" w:rsidR="004A11E5" w:rsidRPr="00F9698C" w:rsidRDefault="004A11E5" w:rsidP="00F9698C">
            <w:pPr>
              <w:jc w:val="center"/>
              <w:rPr>
                <w:b/>
                <w:color w:val="333333"/>
                <w:sz w:val="20"/>
                <w:szCs w:val="21"/>
              </w:rPr>
            </w:pPr>
            <w:r w:rsidRPr="00F9698C">
              <w:rPr>
                <w:b/>
                <w:color w:val="333333"/>
                <w:sz w:val="20"/>
                <w:szCs w:val="21"/>
              </w:rPr>
              <w:t>(DIN 13169)</w:t>
            </w:r>
          </w:p>
        </w:tc>
      </w:tr>
      <w:tr w:rsidR="004A11E5" w:rsidRPr="00F9698C" w14:paraId="3B2311CD" w14:textId="77777777" w:rsidTr="00F9698C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5DEB16C6" w14:textId="77777777" w:rsidR="004A11E5" w:rsidRPr="00F9698C" w:rsidRDefault="004A11E5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1 - 20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ED584F8" w14:textId="77777777" w:rsidR="004A11E5" w:rsidRPr="00F9698C" w:rsidRDefault="002832F7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005AEC2C" w14:textId="77777777" w:rsidR="004A11E5" w:rsidRPr="00F9698C" w:rsidRDefault="002832F7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-</w:t>
            </w:r>
          </w:p>
        </w:tc>
      </w:tr>
      <w:tr w:rsidR="004A11E5" w:rsidRPr="00F9698C" w14:paraId="0131641E" w14:textId="77777777" w:rsidTr="00F9698C">
        <w:trPr>
          <w:trHeight w:val="454"/>
          <w:jc w:val="center"/>
        </w:trPr>
        <w:tc>
          <w:tcPr>
            <w:tcW w:w="2665" w:type="dxa"/>
            <w:shd w:val="clear" w:color="auto" w:fill="auto"/>
            <w:vAlign w:val="center"/>
          </w:tcPr>
          <w:p w14:paraId="4B6EB9B1" w14:textId="77777777" w:rsidR="004A11E5" w:rsidRPr="00F9698C" w:rsidRDefault="004A11E5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21 - 100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71D6A9D1" w14:textId="77777777" w:rsidR="004A11E5" w:rsidRPr="00F9698C" w:rsidRDefault="002832F7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-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3DB40E" w14:textId="77777777" w:rsidR="004A11E5" w:rsidRPr="00F9698C" w:rsidRDefault="002832F7" w:rsidP="00F9698C">
            <w:pPr>
              <w:jc w:val="center"/>
              <w:rPr>
                <w:color w:val="333333"/>
                <w:sz w:val="20"/>
                <w:szCs w:val="21"/>
              </w:rPr>
            </w:pPr>
            <w:r w:rsidRPr="00F9698C">
              <w:rPr>
                <w:color w:val="333333"/>
                <w:sz w:val="20"/>
                <w:szCs w:val="21"/>
              </w:rPr>
              <w:t>1 (</w:t>
            </w:r>
            <w:r w:rsidRPr="00F9698C">
              <w:rPr>
                <w:b/>
                <w:color w:val="333333"/>
                <w:sz w:val="20"/>
                <w:szCs w:val="21"/>
              </w:rPr>
              <w:t>+</w:t>
            </w:r>
            <w:r w:rsidRPr="00F9698C">
              <w:rPr>
                <w:color w:val="333333"/>
                <w:sz w:val="20"/>
                <w:szCs w:val="21"/>
              </w:rPr>
              <w:t>)</w:t>
            </w:r>
          </w:p>
        </w:tc>
      </w:tr>
    </w:tbl>
    <w:p w14:paraId="5EDA7D02" w14:textId="77777777" w:rsidR="004A11E5" w:rsidRPr="00E96DBC" w:rsidRDefault="004A11E5" w:rsidP="00283EB9">
      <w:pPr>
        <w:jc w:val="both"/>
        <w:rPr>
          <w:color w:val="333333"/>
          <w:sz w:val="18"/>
          <w:szCs w:val="21"/>
        </w:rPr>
      </w:pPr>
    </w:p>
    <w:p w14:paraId="7EFA92B6" w14:textId="77777777" w:rsidR="00B456BA" w:rsidRPr="00E96DBC" w:rsidRDefault="00B456BA" w:rsidP="00283EB9">
      <w:pPr>
        <w:jc w:val="both"/>
        <w:rPr>
          <w:color w:val="333333"/>
          <w:sz w:val="18"/>
          <w:szCs w:val="21"/>
        </w:rPr>
      </w:pPr>
    </w:p>
    <w:p w14:paraId="6DDB4561" w14:textId="77777777" w:rsidR="004A11E5" w:rsidRPr="00E96DBC" w:rsidRDefault="00B456BA" w:rsidP="00283EB9">
      <w:pPr>
        <w:jc w:val="both"/>
        <w:rPr>
          <w:rFonts w:eastAsia="Times New Roman"/>
          <w:sz w:val="20"/>
          <w:szCs w:val="18"/>
        </w:rPr>
      </w:pPr>
      <w:r w:rsidRPr="00E96DBC">
        <w:rPr>
          <w:rFonts w:eastAsia="Times New Roman"/>
          <w:sz w:val="20"/>
          <w:szCs w:val="18"/>
        </w:rPr>
        <w:t>(</w:t>
      </w:r>
      <w:r w:rsidRPr="00E96DBC">
        <w:rPr>
          <w:rFonts w:eastAsia="Times New Roman"/>
          <w:b/>
          <w:sz w:val="20"/>
          <w:szCs w:val="18"/>
        </w:rPr>
        <w:t>+</w:t>
      </w:r>
      <w:r w:rsidRPr="00E96DBC">
        <w:rPr>
          <w:rFonts w:eastAsia="Times New Roman"/>
          <w:sz w:val="20"/>
          <w:szCs w:val="18"/>
        </w:rPr>
        <w:t xml:space="preserve">) </w:t>
      </w:r>
      <w:r w:rsidR="002832F7" w:rsidRPr="00E96DBC">
        <w:rPr>
          <w:rFonts w:eastAsia="Times New Roman"/>
          <w:sz w:val="20"/>
          <w:szCs w:val="18"/>
        </w:rPr>
        <w:t>Statt eines großen Verbandkastens können zwei kleine Verbandkästen verwendet werden.</w:t>
      </w:r>
    </w:p>
    <w:p w14:paraId="10017E6C" w14:textId="00BAFDE9" w:rsidR="002832F7" w:rsidRPr="00E96DBC" w:rsidRDefault="001860A9" w:rsidP="00283EB9">
      <w:pPr>
        <w:jc w:val="both"/>
        <w:rPr>
          <w:rFonts w:eastAsia="Times New Roman"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48F5BA" wp14:editId="363740BA">
            <wp:simplePos x="0" y="0"/>
            <wp:positionH relativeFrom="column">
              <wp:posOffset>5426075</wp:posOffset>
            </wp:positionH>
            <wp:positionV relativeFrom="paragraph">
              <wp:posOffset>112395</wp:posOffset>
            </wp:positionV>
            <wp:extent cx="790575" cy="790575"/>
            <wp:effectExtent l="0" t="0" r="0" b="0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A32B" w14:textId="253B74CC" w:rsidR="002832F7" w:rsidRDefault="0004312C" w:rsidP="00283EB9">
      <w:pPr>
        <w:jc w:val="both"/>
        <w:rPr>
          <w:rFonts w:eastAsia="Times New Roman"/>
          <w:sz w:val="20"/>
          <w:szCs w:val="18"/>
        </w:rPr>
      </w:pPr>
      <w:r>
        <w:rPr>
          <w:rFonts w:eastAsia="Times New Roman"/>
          <w:sz w:val="20"/>
          <w:szCs w:val="18"/>
        </w:rPr>
        <w:t xml:space="preserve">Das </w:t>
      </w:r>
      <w:r w:rsidR="002832F7" w:rsidRPr="00E96DBC">
        <w:rPr>
          <w:rFonts w:eastAsia="Times New Roman"/>
          <w:sz w:val="20"/>
          <w:szCs w:val="18"/>
        </w:rPr>
        <w:t>Erste-Hilfe-Material ist so aufzubewahren, dass es vor schädigenden Einflüssen (z.B. Verunreinigungen, Nässe, hohe Temperaturen) geschützt, aber jederzeit leicht zugänglich ist.</w:t>
      </w:r>
      <w:r>
        <w:rPr>
          <w:rFonts w:eastAsia="Times New Roman"/>
          <w:sz w:val="20"/>
          <w:szCs w:val="18"/>
        </w:rPr>
        <w:t xml:space="preserve"> Der Standort des Materials </w:t>
      </w:r>
      <w:r w:rsidR="00FA246D">
        <w:rPr>
          <w:rFonts w:eastAsia="Times New Roman"/>
          <w:sz w:val="20"/>
          <w:szCs w:val="18"/>
        </w:rPr>
        <w:t>muss</w:t>
      </w:r>
      <w:r>
        <w:rPr>
          <w:rFonts w:eastAsia="Times New Roman"/>
          <w:sz w:val="20"/>
          <w:szCs w:val="18"/>
        </w:rPr>
        <w:t xml:space="preserve"> gemäß ASR A1.3 gekennzeichnet</w:t>
      </w:r>
      <w:r w:rsidR="00FA246D">
        <w:rPr>
          <w:rFonts w:eastAsia="Times New Roman"/>
          <w:sz w:val="20"/>
          <w:szCs w:val="18"/>
        </w:rPr>
        <w:t xml:space="preserve"> werden</w:t>
      </w:r>
      <w:r>
        <w:rPr>
          <w:rFonts w:eastAsia="Times New Roman"/>
          <w:sz w:val="20"/>
          <w:szCs w:val="18"/>
        </w:rPr>
        <w:t>.</w:t>
      </w:r>
      <w:r w:rsidR="002832F7" w:rsidRPr="00E96DBC">
        <w:rPr>
          <w:rFonts w:eastAsia="Times New Roman"/>
          <w:sz w:val="20"/>
          <w:szCs w:val="18"/>
        </w:rPr>
        <w:t xml:space="preserve"> Das Erste-Hilfe-Material ist nach Verbrauch</w:t>
      </w:r>
      <w:r w:rsidR="00F40DCC">
        <w:rPr>
          <w:rFonts w:eastAsia="Times New Roman"/>
          <w:sz w:val="20"/>
          <w:szCs w:val="18"/>
        </w:rPr>
        <w:t xml:space="preserve"> bzw. Entnahme</w:t>
      </w:r>
      <w:r w:rsidR="002832F7" w:rsidRPr="00E96DBC">
        <w:rPr>
          <w:rFonts w:eastAsia="Times New Roman"/>
          <w:sz w:val="20"/>
          <w:szCs w:val="18"/>
        </w:rPr>
        <w:t>, bei Unbrauchbarkeit oder nach Ablauf des Verfallsdatums zu ergänzen bzw. zu ersetzen.</w:t>
      </w:r>
    </w:p>
    <w:p w14:paraId="6A8F695B" w14:textId="6B899626" w:rsidR="00252F57" w:rsidRDefault="00252F57" w:rsidP="00283EB9">
      <w:pPr>
        <w:jc w:val="both"/>
        <w:rPr>
          <w:rFonts w:eastAsia="Times New Roman"/>
          <w:sz w:val="20"/>
          <w:szCs w:val="18"/>
        </w:rPr>
      </w:pPr>
    </w:p>
    <w:p w14:paraId="18521170" w14:textId="77777777" w:rsidR="002D3289" w:rsidRDefault="002D3289" w:rsidP="00283EB9">
      <w:pPr>
        <w:jc w:val="both"/>
        <w:rPr>
          <w:rFonts w:eastAsia="Times New Roman"/>
          <w:sz w:val="20"/>
          <w:szCs w:val="18"/>
        </w:rPr>
      </w:pPr>
    </w:p>
    <w:p w14:paraId="1AC9C5DE" w14:textId="2B6A4197" w:rsidR="00B24659" w:rsidRPr="00757193" w:rsidRDefault="00252F57" w:rsidP="00B24659">
      <w:pPr>
        <w:rPr>
          <w:rFonts w:eastAsia="Times New Roman"/>
          <w:b/>
          <w:bCs/>
          <w:u w:val="single"/>
        </w:rPr>
      </w:pPr>
      <w:r>
        <w:rPr>
          <w:rFonts w:eastAsia="Times New Roman"/>
          <w:sz w:val="20"/>
          <w:szCs w:val="18"/>
        </w:rPr>
        <w:br w:type="page"/>
      </w:r>
      <w:r w:rsidR="002D3289">
        <w:rPr>
          <w:rFonts w:eastAsia="Times New Roman"/>
          <w:b/>
          <w:bCs/>
          <w:sz w:val="24"/>
          <w:szCs w:val="24"/>
        </w:rPr>
        <w:lastRenderedPageBreak/>
        <w:t>Arbeitsu</w:t>
      </w:r>
      <w:r w:rsidR="00B24659" w:rsidRPr="00C4181E">
        <w:rPr>
          <w:rFonts w:eastAsia="Times New Roman"/>
          <w:b/>
          <w:bCs/>
          <w:sz w:val="24"/>
          <w:szCs w:val="24"/>
        </w:rPr>
        <w:t xml:space="preserve">nfall passiert </w:t>
      </w:r>
      <w:r w:rsidR="002D3289">
        <w:rPr>
          <w:rFonts w:eastAsia="Times New Roman"/>
          <w:b/>
          <w:bCs/>
          <w:sz w:val="24"/>
          <w:szCs w:val="24"/>
        </w:rPr>
        <w:t>-</w:t>
      </w:r>
      <w:r w:rsidR="00B24659" w:rsidRPr="00C4181E">
        <w:rPr>
          <w:rFonts w:eastAsia="Times New Roman"/>
          <w:b/>
          <w:bCs/>
          <w:sz w:val="24"/>
          <w:szCs w:val="24"/>
        </w:rPr>
        <w:t xml:space="preserve"> Was ist zu tun?</w:t>
      </w:r>
    </w:p>
    <w:p w14:paraId="49B88826" w14:textId="77777777" w:rsidR="00B24659" w:rsidRPr="002D3289" w:rsidRDefault="00B24659" w:rsidP="00B24659">
      <w:pPr>
        <w:rPr>
          <w:rFonts w:eastAsia="Times New Roman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04"/>
      </w:tblGrid>
      <w:tr w:rsidR="00B24659" w:rsidRPr="000340A8" w14:paraId="4C68D697" w14:textId="77777777" w:rsidTr="002D32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03FA" w14:textId="77777777" w:rsidR="00B24659" w:rsidRPr="00757193" w:rsidRDefault="00B24659" w:rsidP="00F417E5">
            <w:pPr>
              <w:spacing w:before="60" w:after="60"/>
              <w:rPr>
                <w:rFonts w:eastAsia="Times New Roman"/>
                <w:b/>
                <w:sz w:val="20"/>
                <w:szCs w:val="18"/>
              </w:rPr>
            </w:pPr>
            <w:r w:rsidRPr="00757193">
              <w:rPr>
                <w:rFonts w:eastAsia="Times New Roman"/>
                <w:b/>
                <w:sz w:val="20"/>
                <w:szCs w:val="18"/>
              </w:rPr>
              <w:t>Verfahrensschritte: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766B" w14:textId="77777777" w:rsidR="00B24659" w:rsidRPr="00757193" w:rsidRDefault="00B24659" w:rsidP="00F417E5">
            <w:pPr>
              <w:spacing w:before="60" w:after="60"/>
              <w:rPr>
                <w:rFonts w:eastAsia="Times New Roman"/>
                <w:b/>
                <w:sz w:val="20"/>
                <w:szCs w:val="18"/>
              </w:rPr>
            </w:pPr>
            <w:r w:rsidRPr="00757193">
              <w:rPr>
                <w:rFonts w:eastAsia="Times New Roman"/>
                <w:b/>
                <w:sz w:val="20"/>
                <w:szCs w:val="18"/>
              </w:rPr>
              <w:t>Wie bzw. womit?</w:t>
            </w:r>
          </w:p>
        </w:tc>
      </w:tr>
      <w:tr w:rsidR="00A93531" w:rsidRPr="00282D9F" w14:paraId="7ABACB18" w14:textId="77777777" w:rsidTr="007D02B5">
        <w:tc>
          <w:tcPr>
            <w:tcW w:w="9752" w:type="dxa"/>
            <w:gridSpan w:val="2"/>
            <w:shd w:val="clear" w:color="auto" w:fill="auto"/>
          </w:tcPr>
          <w:p w14:paraId="5B26EBEE" w14:textId="4C4B0B88" w:rsidR="00A93531" w:rsidRDefault="00A93531" w:rsidP="00F417E5">
            <w:pPr>
              <w:rPr>
                <w:sz w:val="20"/>
              </w:rPr>
            </w:pPr>
            <w:r>
              <w:rPr>
                <w:sz w:val="20"/>
              </w:rPr>
              <w:t xml:space="preserve">Ggf. ist eine praxisinterne Erste-Hilfe-Versorgung </w:t>
            </w:r>
            <w:r w:rsidR="00A864EC">
              <w:rPr>
                <w:sz w:val="20"/>
              </w:rPr>
              <w:t>durchzuführen.</w:t>
            </w:r>
          </w:p>
          <w:p w14:paraId="0895ED3C" w14:textId="6DA48248" w:rsidR="00A93531" w:rsidRPr="000340A8" w:rsidRDefault="00A93531" w:rsidP="00F417E5">
            <w:pPr>
              <w:rPr>
                <w:sz w:val="20"/>
              </w:rPr>
            </w:pPr>
          </w:p>
        </w:tc>
      </w:tr>
      <w:tr w:rsidR="00B24659" w:rsidRPr="00282D9F" w14:paraId="17823B41" w14:textId="77777777" w:rsidTr="002D3289">
        <w:tc>
          <w:tcPr>
            <w:tcW w:w="2948" w:type="dxa"/>
            <w:shd w:val="clear" w:color="auto" w:fill="auto"/>
          </w:tcPr>
          <w:p w14:paraId="6CFD3206" w14:textId="05342634" w:rsidR="00B24659" w:rsidRDefault="00B24659" w:rsidP="00F417E5">
            <w:pPr>
              <w:tabs>
                <w:tab w:val="left" w:pos="34"/>
                <w:tab w:val="left" w:pos="318"/>
              </w:tabs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1. Aufsuchen des </w:t>
            </w:r>
            <w:r w:rsidRPr="000340A8">
              <w:rPr>
                <w:rFonts w:eastAsia="Times New Roman"/>
                <w:sz w:val="20"/>
                <w:szCs w:val="18"/>
              </w:rPr>
              <w:t>Durch</w:t>
            </w:r>
            <w:r>
              <w:rPr>
                <w:rFonts w:eastAsia="Times New Roman"/>
                <w:sz w:val="20"/>
                <w:szCs w:val="18"/>
              </w:rPr>
              <w:t>-</w:t>
            </w:r>
          </w:p>
          <w:p w14:paraId="487501D9" w14:textId="3CAA4DF1" w:rsidR="00B24659" w:rsidRPr="000340A8" w:rsidRDefault="00B24659" w:rsidP="00F417E5">
            <w:pPr>
              <w:tabs>
                <w:tab w:val="left" w:pos="34"/>
                <w:tab w:val="left" w:pos="318"/>
              </w:tabs>
              <w:ind w:left="176" w:hanging="142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   gangsarztes (</w:t>
            </w:r>
            <w:r w:rsidRPr="00343932">
              <w:rPr>
                <w:rFonts w:eastAsia="Times New Roman"/>
                <w:b/>
                <w:sz w:val="20"/>
                <w:szCs w:val="18"/>
              </w:rPr>
              <w:t>*</w:t>
            </w:r>
            <w:r>
              <w:rPr>
                <w:rFonts w:eastAsia="Times New Roman"/>
                <w:sz w:val="20"/>
                <w:szCs w:val="1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4BD4AA70" w14:textId="77777777" w:rsidR="00B24659" w:rsidRPr="000340A8" w:rsidRDefault="00B24659" w:rsidP="00F417E5">
            <w:pPr>
              <w:rPr>
                <w:sz w:val="20"/>
              </w:rPr>
            </w:pPr>
            <w:r w:rsidRPr="000340A8">
              <w:rPr>
                <w:sz w:val="20"/>
              </w:rPr>
              <w:t xml:space="preserve">Der zuständige Durchgangsarzt (D-Arzt) muss im </w:t>
            </w:r>
            <w:hyperlink r:id="rId11" w:history="1">
              <w:r w:rsidRPr="006A3074">
                <w:rPr>
                  <w:rStyle w:val="Hyperlink"/>
                  <w:rFonts w:eastAsia="Times"/>
                </w:rPr>
                <w:t>Alarmplan</w:t>
              </w:r>
            </w:hyperlink>
            <w:r>
              <w:rPr>
                <w:sz w:val="20"/>
              </w:rPr>
              <w:t xml:space="preserve"> </w:t>
            </w:r>
            <w:r w:rsidRPr="003C08C4">
              <w:rPr>
                <w:sz w:val="20"/>
              </w:rPr>
              <w:t>festgelegt</w:t>
            </w:r>
            <w:r w:rsidRPr="000340A8">
              <w:rPr>
                <w:sz w:val="20"/>
              </w:rPr>
              <w:t xml:space="preserve"> sein, damit die Kontaktdaten im Notfall sofort verfügbar sind.</w:t>
            </w:r>
          </w:p>
          <w:p w14:paraId="389B64E7" w14:textId="77777777" w:rsidR="00B24659" w:rsidRPr="00282D9F" w:rsidRDefault="00B24659" w:rsidP="00F417E5">
            <w:pPr>
              <w:rPr>
                <w:rFonts w:eastAsia="Times New Roman"/>
                <w:sz w:val="16"/>
              </w:rPr>
            </w:pPr>
          </w:p>
          <w:p w14:paraId="3C7AC012" w14:textId="77777777" w:rsidR="00B24659" w:rsidRPr="00282D9F" w:rsidRDefault="00B24659" w:rsidP="00F417E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Unter dem </w:t>
            </w:r>
            <w:hyperlink r:id="rId12" w:history="1">
              <w:r w:rsidRPr="006A3074">
                <w:rPr>
                  <w:rStyle w:val="Hyperlink"/>
                  <w:rFonts w:eastAsia="Times"/>
                </w:rPr>
                <w:t>www.dguv.de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282D9F">
              <w:rPr>
                <w:rFonts w:eastAsia="Times New Roman"/>
                <w:sz w:val="20"/>
              </w:rPr>
              <w:t>finde</w:t>
            </w:r>
            <w:r>
              <w:rPr>
                <w:rFonts w:eastAsia="Times New Roman"/>
                <w:sz w:val="20"/>
              </w:rPr>
              <w:t>n Sie eine Suchmaschine für Durchgangsärzte in Ihrer Nähe.</w:t>
            </w:r>
          </w:p>
          <w:p w14:paraId="4C273753" w14:textId="77777777" w:rsidR="00B24659" w:rsidRPr="00282D9F" w:rsidRDefault="00B24659" w:rsidP="00F417E5">
            <w:pPr>
              <w:rPr>
                <w:rFonts w:eastAsia="Times New Roman"/>
                <w:sz w:val="20"/>
              </w:rPr>
            </w:pPr>
          </w:p>
        </w:tc>
      </w:tr>
      <w:tr w:rsidR="00B24659" w:rsidRPr="00575167" w14:paraId="10953F9C" w14:textId="77777777" w:rsidTr="002D3289">
        <w:tc>
          <w:tcPr>
            <w:tcW w:w="2948" w:type="dxa"/>
            <w:shd w:val="clear" w:color="auto" w:fill="auto"/>
          </w:tcPr>
          <w:p w14:paraId="7A27E6C1" w14:textId="77777777" w:rsidR="00B24659" w:rsidRDefault="00B24659" w:rsidP="00F417E5">
            <w:pPr>
              <w:tabs>
                <w:tab w:val="left" w:pos="176"/>
              </w:tabs>
              <w:ind w:left="176" w:hanging="176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2. Der für die Praxis zustän-</w:t>
            </w:r>
          </w:p>
          <w:p w14:paraId="67CC7884" w14:textId="77777777" w:rsidR="00B24659" w:rsidRDefault="00B24659" w:rsidP="00F417E5">
            <w:pPr>
              <w:tabs>
                <w:tab w:val="left" w:pos="176"/>
              </w:tabs>
              <w:ind w:left="176" w:hanging="176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    dige D-Arzt leitet das ent- </w:t>
            </w:r>
          </w:p>
          <w:p w14:paraId="2A384A47" w14:textId="77777777" w:rsidR="00B24659" w:rsidRDefault="00B24659" w:rsidP="00F417E5">
            <w:pPr>
              <w:tabs>
                <w:tab w:val="left" w:pos="176"/>
              </w:tabs>
              <w:ind w:left="176" w:hanging="176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    sprechende D-Arzt-</w:t>
            </w:r>
          </w:p>
          <w:p w14:paraId="4C8655F7" w14:textId="77777777" w:rsidR="00B24659" w:rsidRDefault="00B24659" w:rsidP="00F417E5">
            <w:pPr>
              <w:tabs>
                <w:tab w:val="left" w:pos="176"/>
              </w:tabs>
              <w:ind w:left="176" w:hanging="176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    Verfahren ein</w:t>
            </w:r>
          </w:p>
          <w:p w14:paraId="589CCC35" w14:textId="77777777" w:rsidR="00B24659" w:rsidRPr="00575167" w:rsidRDefault="00B24659" w:rsidP="00F417E5">
            <w:pPr>
              <w:tabs>
                <w:tab w:val="left" w:pos="176"/>
              </w:tabs>
              <w:ind w:left="176" w:hanging="176"/>
              <w:rPr>
                <w:rFonts w:eastAsia="Times New Roman"/>
                <w:sz w:val="20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1252E12D" w14:textId="77777777" w:rsidR="00B24659" w:rsidRPr="00575167" w:rsidRDefault="00B24659" w:rsidP="00F417E5">
            <w:pPr>
              <w:tabs>
                <w:tab w:val="left" w:pos="400"/>
              </w:tabs>
              <w:spacing w:before="20" w:after="20"/>
              <w:ind w:left="743"/>
              <w:rPr>
                <w:sz w:val="20"/>
              </w:rPr>
            </w:pPr>
          </w:p>
        </w:tc>
      </w:tr>
      <w:tr w:rsidR="00B24659" w:rsidRPr="00150193" w14:paraId="05BFCD64" w14:textId="77777777" w:rsidTr="002D3289">
        <w:tc>
          <w:tcPr>
            <w:tcW w:w="2948" w:type="dxa"/>
            <w:shd w:val="clear" w:color="auto" w:fill="auto"/>
          </w:tcPr>
          <w:p w14:paraId="48B6095B" w14:textId="3EE862CC" w:rsidR="00B24659" w:rsidRPr="00575167" w:rsidRDefault="00B24659" w:rsidP="00F417E5">
            <w:pPr>
              <w:tabs>
                <w:tab w:val="left" w:pos="318"/>
              </w:tabs>
              <w:ind w:left="318" w:hanging="318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 xml:space="preserve">3. </w:t>
            </w:r>
            <w:r w:rsidRPr="00575167">
              <w:rPr>
                <w:rFonts w:eastAsia="Times New Roman"/>
                <w:sz w:val="20"/>
                <w:szCs w:val="18"/>
              </w:rPr>
              <w:t>Eintrag ins Verbandbuch</w:t>
            </w:r>
          </w:p>
          <w:p w14:paraId="0A91BF0E" w14:textId="77777777" w:rsidR="00B24659" w:rsidRPr="00150193" w:rsidRDefault="00B24659" w:rsidP="00F417E5">
            <w:pPr>
              <w:spacing w:before="60" w:after="6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6804" w:type="dxa"/>
            <w:shd w:val="clear" w:color="auto" w:fill="auto"/>
          </w:tcPr>
          <w:p w14:paraId="145B2B25" w14:textId="77777777" w:rsidR="00B24659" w:rsidRDefault="00B24659" w:rsidP="00F417E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In der Praxis wird die</w:t>
            </w:r>
            <w:r w:rsidRPr="00575167">
              <w:rPr>
                <w:rFonts w:eastAsia="Times New Roman"/>
                <w:sz w:val="20"/>
              </w:rPr>
              <w:t xml:space="preserve"> Erste-Hilfe-Leistung ins Verbandbuch (</w:t>
            </w:r>
            <w:r w:rsidRPr="00575167">
              <w:rPr>
                <w:rFonts w:eastAsia="Times New Roman"/>
                <w:b/>
                <w:sz w:val="20"/>
              </w:rPr>
              <w:t>**</w:t>
            </w:r>
            <w:r w:rsidRPr="00575167">
              <w:rPr>
                <w:rFonts w:eastAsia="Times New Roman"/>
                <w:sz w:val="20"/>
              </w:rPr>
              <w:t xml:space="preserve">) </w:t>
            </w:r>
            <w:r>
              <w:rPr>
                <w:rFonts w:eastAsia="Times New Roman"/>
                <w:sz w:val="20"/>
              </w:rPr>
              <w:br/>
            </w:r>
            <w:r w:rsidRPr="00575167">
              <w:rPr>
                <w:rFonts w:eastAsia="Times New Roman"/>
                <w:sz w:val="20"/>
              </w:rPr>
              <w:t>eingetragen.</w:t>
            </w:r>
          </w:p>
          <w:p w14:paraId="0892E09E" w14:textId="77777777" w:rsidR="00B24659" w:rsidRPr="008F46FA" w:rsidRDefault="00B24659" w:rsidP="00F417E5">
            <w:pPr>
              <w:rPr>
                <w:rFonts w:eastAsia="Times New Roman"/>
                <w:sz w:val="20"/>
              </w:rPr>
            </w:pPr>
          </w:p>
        </w:tc>
      </w:tr>
      <w:tr w:rsidR="00B24659" w:rsidRPr="00575167" w14:paraId="2FD354DF" w14:textId="77777777" w:rsidTr="002D3289">
        <w:tc>
          <w:tcPr>
            <w:tcW w:w="2948" w:type="dxa"/>
            <w:shd w:val="clear" w:color="auto" w:fill="auto"/>
          </w:tcPr>
          <w:p w14:paraId="2A372D73" w14:textId="01B5C89E" w:rsidR="00B24659" w:rsidRPr="00575167" w:rsidRDefault="002D3289" w:rsidP="000E536E">
            <w:pPr>
              <w:tabs>
                <w:tab w:val="left" w:pos="318"/>
              </w:tabs>
              <w:ind w:left="318" w:hanging="318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4</w:t>
            </w:r>
            <w:r w:rsidR="00B24659">
              <w:rPr>
                <w:rFonts w:eastAsia="Times New Roman"/>
                <w:sz w:val="20"/>
                <w:szCs w:val="18"/>
              </w:rPr>
              <w:t xml:space="preserve">. </w:t>
            </w:r>
            <w:r w:rsidR="00B24659" w:rsidRPr="00575167">
              <w:rPr>
                <w:rFonts w:eastAsia="Times New Roman"/>
                <w:sz w:val="20"/>
                <w:szCs w:val="18"/>
              </w:rPr>
              <w:t>Unfallanzeige</w:t>
            </w:r>
            <w:r w:rsidR="00D03DE8">
              <w:rPr>
                <w:rFonts w:eastAsia="Times New Roman"/>
                <w:sz w:val="20"/>
                <w:szCs w:val="18"/>
              </w:rPr>
              <w:t xml:space="preserve"> durch die/den Praxisinhaberin/Praxis-</w:t>
            </w:r>
            <w:r w:rsidR="00D03DE8">
              <w:rPr>
                <w:rFonts w:eastAsia="Times New Roman"/>
                <w:sz w:val="20"/>
                <w:szCs w:val="18"/>
              </w:rPr>
              <w:br/>
              <w:t>inhaber</w:t>
            </w:r>
          </w:p>
        </w:tc>
        <w:tc>
          <w:tcPr>
            <w:tcW w:w="6804" w:type="dxa"/>
            <w:shd w:val="clear" w:color="auto" w:fill="auto"/>
          </w:tcPr>
          <w:p w14:paraId="347BA9C2" w14:textId="690A8A08" w:rsidR="00736427" w:rsidRPr="002D3289" w:rsidRDefault="00736427" w:rsidP="00736427">
            <w:pPr>
              <w:rPr>
                <w:rFonts w:eastAsia="Times New Roman"/>
                <w:sz w:val="20"/>
              </w:rPr>
            </w:pPr>
            <w:r w:rsidRPr="002D3289">
              <w:rPr>
                <w:rFonts w:eastAsia="Times New Roman"/>
                <w:sz w:val="20"/>
              </w:rPr>
              <w:t>Arbeitsunfälle und Wegeunfälle (z. B. Unfall auf dem Weg zwischen</w:t>
            </w:r>
            <w:r w:rsidR="002D3289" w:rsidRPr="002D3289">
              <w:rPr>
                <w:rFonts w:eastAsia="Times New Roman"/>
                <w:sz w:val="20"/>
              </w:rPr>
              <w:t xml:space="preserve"> </w:t>
            </w:r>
            <w:r w:rsidR="002D3289" w:rsidRPr="002D3289">
              <w:rPr>
                <w:rFonts w:eastAsia="Times New Roman"/>
                <w:sz w:val="20"/>
              </w:rPr>
              <w:br/>
            </w:r>
            <w:r w:rsidRPr="002D3289">
              <w:rPr>
                <w:rFonts w:eastAsia="Times New Roman"/>
                <w:sz w:val="20"/>
              </w:rPr>
              <w:t>Wohnung und Arbeitsstätte) sind anzuzeigen, wenn sie zu einer</w:t>
            </w:r>
            <w:r w:rsidR="002D3289" w:rsidRPr="002D3289">
              <w:rPr>
                <w:rFonts w:eastAsia="Times New Roman"/>
                <w:sz w:val="20"/>
              </w:rPr>
              <w:t xml:space="preserve"> </w:t>
            </w:r>
            <w:r w:rsidRPr="002D3289">
              <w:rPr>
                <w:rFonts w:eastAsia="Times New Roman"/>
                <w:sz w:val="20"/>
              </w:rPr>
              <w:t>Arbeitsunfähigkeit von mehr als 3 Kalendertagen oder zum Tod der</w:t>
            </w:r>
            <w:r w:rsidR="002D3289" w:rsidRPr="002D3289">
              <w:rPr>
                <w:rFonts w:eastAsia="Times New Roman"/>
                <w:sz w:val="20"/>
              </w:rPr>
              <w:t xml:space="preserve"> </w:t>
            </w:r>
            <w:r w:rsidRPr="002D3289">
              <w:rPr>
                <w:rFonts w:eastAsia="Times New Roman"/>
                <w:sz w:val="20"/>
              </w:rPr>
              <w:t>versicherten Person führen.</w:t>
            </w:r>
          </w:p>
          <w:p w14:paraId="072C37EB" w14:textId="77777777" w:rsidR="00736427" w:rsidRDefault="00736427" w:rsidP="00736427">
            <w:pPr>
              <w:rPr>
                <w:rFonts w:eastAsia="Times New Roman"/>
                <w:sz w:val="20"/>
              </w:rPr>
            </w:pPr>
          </w:p>
          <w:p w14:paraId="4669EDF0" w14:textId="77777777" w:rsidR="00736427" w:rsidRDefault="00736427" w:rsidP="00736427">
            <w:pPr>
              <w:rPr>
                <w:rFonts w:eastAsia="Times New Roman"/>
                <w:sz w:val="20"/>
              </w:rPr>
            </w:pPr>
            <w:r w:rsidRPr="00575167">
              <w:rPr>
                <w:rFonts w:eastAsia="Times New Roman"/>
                <w:sz w:val="20"/>
              </w:rPr>
              <w:t xml:space="preserve">Anzeige des Unfalls bei der Berufsgenossenschaft (BGW) und </w:t>
            </w:r>
            <w:r>
              <w:rPr>
                <w:rFonts w:eastAsia="Times New Roman"/>
                <w:sz w:val="20"/>
              </w:rPr>
              <w:t xml:space="preserve">der </w:t>
            </w:r>
            <w:r>
              <w:rPr>
                <w:rFonts w:eastAsia="Times New Roman"/>
                <w:sz w:val="20"/>
              </w:rPr>
              <w:br/>
              <w:t>zuständigen staatlichen Arbeitsschutzbehörde</w:t>
            </w:r>
            <w:r w:rsidRPr="00575167"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sz w:val="20"/>
              </w:rPr>
              <w:t>(</w:t>
            </w:r>
            <w:r w:rsidRPr="00575167">
              <w:rPr>
                <w:rFonts w:eastAsia="Times New Roman"/>
                <w:sz w:val="20"/>
              </w:rPr>
              <w:t>Landratsamt</w:t>
            </w:r>
            <w:r>
              <w:rPr>
                <w:rFonts w:eastAsia="Times New Roman"/>
                <w:sz w:val="20"/>
              </w:rPr>
              <w:t>)</w:t>
            </w:r>
            <w:r w:rsidRPr="00575167">
              <w:rPr>
                <w:rFonts w:eastAsia="Times New Roman"/>
                <w:sz w:val="20"/>
              </w:rPr>
              <w:t>.</w:t>
            </w:r>
          </w:p>
          <w:p w14:paraId="68D9F989" w14:textId="77777777" w:rsidR="00B24659" w:rsidRDefault="00B24659" w:rsidP="00F417E5">
            <w:pPr>
              <w:rPr>
                <w:rFonts w:eastAsia="Times New Roman"/>
                <w:sz w:val="20"/>
              </w:rPr>
            </w:pPr>
          </w:p>
          <w:p w14:paraId="0D46E573" w14:textId="77777777" w:rsidR="00B24659" w:rsidRPr="009845EA" w:rsidRDefault="00B24659" w:rsidP="00F417E5">
            <w:pPr>
              <w:rPr>
                <w:rFonts w:eastAsia="Times New Roman"/>
                <w:sz w:val="20"/>
              </w:rPr>
            </w:pPr>
            <w:r w:rsidRPr="009845EA">
              <w:rPr>
                <w:rFonts w:eastAsia="Times New Roman"/>
                <w:sz w:val="20"/>
              </w:rPr>
              <w:t xml:space="preserve">Zum Online-Formular „Unfallanzeige“ der BGW geht’s </w:t>
            </w:r>
            <w:hyperlink r:id="rId13" w:history="1">
              <w:r w:rsidRPr="009845EA">
                <w:rPr>
                  <w:rStyle w:val="Hyperlink"/>
                  <w:rFonts w:eastAsia="Times"/>
                  <w:b/>
                  <w:bCs/>
                  <w:szCs w:val="22"/>
                </w:rPr>
                <w:t>hier</w:t>
              </w:r>
            </w:hyperlink>
            <w:r w:rsidRPr="009845EA">
              <w:rPr>
                <w:rFonts w:eastAsia="Times New Roman"/>
                <w:sz w:val="20"/>
              </w:rPr>
              <w:t>.</w:t>
            </w:r>
          </w:p>
          <w:p w14:paraId="73DD16BC" w14:textId="77777777" w:rsidR="00B24659" w:rsidRPr="009845EA" w:rsidRDefault="00B24659" w:rsidP="00F417E5">
            <w:pPr>
              <w:rPr>
                <w:rFonts w:eastAsia="Times New Roman"/>
                <w:sz w:val="20"/>
              </w:rPr>
            </w:pPr>
            <w:r w:rsidRPr="009845EA">
              <w:rPr>
                <w:rFonts w:eastAsia="Times New Roman"/>
                <w:sz w:val="20"/>
              </w:rPr>
              <w:t xml:space="preserve">Zum pdf-Formular „Unfallanzeige“ der BGW geht’s </w:t>
            </w:r>
            <w:hyperlink r:id="rId14" w:history="1">
              <w:r w:rsidRPr="009845EA">
                <w:rPr>
                  <w:rStyle w:val="Hyperlink"/>
                  <w:rFonts w:eastAsia="Times"/>
                  <w:b/>
                  <w:bCs/>
                  <w:szCs w:val="22"/>
                </w:rPr>
                <w:t>hier</w:t>
              </w:r>
            </w:hyperlink>
            <w:r w:rsidRPr="009845EA">
              <w:rPr>
                <w:rFonts w:eastAsia="Times New Roman"/>
                <w:sz w:val="20"/>
              </w:rPr>
              <w:t>.</w:t>
            </w:r>
          </w:p>
          <w:p w14:paraId="03BE1FB7" w14:textId="77777777" w:rsidR="00B24659" w:rsidRPr="00575167" w:rsidRDefault="00B24659" w:rsidP="00F417E5">
            <w:pPr>
              <w:rPr>
                <w:rFonts w:eastAsia="Times New Roman"/>
                <w:sz w:val="20"/>
              </w:rPr>
            </w:pPr>
          </w:p>
        </w:tc>
      </w:tr>
    </w:tbl>
    <w:p w14:paraId="596BBAFD" w14:textId="77777777" w:rsidR="00AB2D33" w:rsidRDefault="00AB2D33" w:rsidP="00B24659">
      <w:pPr>
        <w:rPr>
          <w:rFonts w:eastAsia="Times New Roman"/>
          <w:sz w:val="20"/>
          <w:szCs w:val="20"/>
        </w:rPr>
      </w:pPr>
    </w:p>
    <w:p w14:paraId="14F15CCC" w14:textId="2F8BE6BA" w:rsidR="00B24659" w:rsidRDefault="00B24659" w:rsidP="00B24659">
      <w:pPr>
        <w:ind w:left="705" w:hanging="705"/>
        <w:rPr>
          <w:sz w:val="20"/>
        </w:rPr>
      </w:pPr>
      <w:r w:rsidRPr="00343932">
        <w:rPr>
          <w:sz w:val="20"/>
        </w:rPr>
        <w:t>(</w:t>
      </w:r>
      <w:r w:rsidRPr="00343932">
        <w:rPr>
          <w:b/>
          <w:sz w:val="20"/>
        </w:rPr>
        <w:t>*</w:t>
      </w:r>
      <w:r w:rsidRPr="00343932">
        <w:rPr>
          <w:sz w:val="20"/>
        </w:rPr>
        <w:t xml:space="preserve">) </w:t>
      </w:r>
      <w:r>
        <w:rPr>
          <w:b/>
          <w:sz w:val="20"/>
        </w:rPr>
        <w:tab/>
      </w:r>
      <w:r>
        <w:rPr>
          <w:sz w:val="20"/>
        </w:rPr>
        <w:t xml:space="preserve">Bei Vorliegen einer </w:t>
      </w:r>
      <w:r w:rsidRPr="00343932">
        <w:rPr>
          <w:b/>
          <w:sz w:val="20"/>
        </w:rPr>
        <w:t>Augen- oder Hals-, Nasen-, Ohrenverletzung</w:t>
      </w:r>
      <w:r>
        <w:rPr>
          <w:sz w:val="20"/>
        </w:rPr>
        <w:t xml:space="preserve"> wird der Verletzte dem </w:t>
      </w:r>
      <w:r w:rsidRPr="00343932">
        <w:rPr>
          <w:b/>
          <w:sz w:val="20"/>
        </w:rPr>
        <w:t>nächst</w:t>
      </w:r>
      <w:r w:rsidR="000C6705">
        <w:rPr>
          <w:b/>
          <w:sz w:val="20"/>
        </w:rPr>
        <w:t>-</w:t>
      </w:r>
      <w:r w:rsidR="000C6705">
        <w:rPr>
          <w:b/>
          <w:sz w:val="20"/>
        </w:rPr>
        <w:br/>
      </w:r>
      <w:r w:rsidRPr="00343932">
        <w:rPr>
          <w:b/>
          <w:sz w:val="20"/>
        </w:rPr>
        <w:t>erreichbaren Arzt des entsprechenden Fachgebiets</w:t>
      </w:r>
      <w:r>
        <w:rPr>
          <w:sz w:val="20"/>
        </w:rPr>
        <w:t xml:space="preserve"> zugeführt, es sei denn, dass sich die Vorstellung durch eine ärztliche Erstversorgung erübrigt hat.</w:t>
      </w:r>
    </w:p>
    <w:p w14:paraId="0A81AC45" w14:textId="77777777" w:rsidR="00B24659" w:rsidRPr="000233C2" w:rsidRDefault="00B24659" w:rsidP="00B24659">
      <w:pPr>
        <w:ind w:left="705"/>
        <w:rPr>
          <w:rFonts w:eastAsia="Times New Roman"/>
          <w:sz w:val="18"/>
          <w:szCs w:val="20"/>
        </w:rPr>
      </w:pPr>
      <w:r>
        <w:rPr>
          <w:sz w:val="20"/>
        </w:rPr>
        <w:t>Es ist sinnvoll, das Sicherheitsdatenblatt des Gefahrstoffs dem behandelnden Arzt vorzulegen.</w:t>
      </w:r>
    </w:p>
    <w:p w14:paraId="2BBA8259" w14:textId="77777777" w:rsidR="00B24659" w:rsidRDefault="00B24659" w:rsidP="00B24659">
      <w:pPr>
        <w:tabs>
          <w:tab w:val="left" w:pos="0"/>
        </w:tabs>
        <w:ind w:left="705" w:hanging="705"/>
        <w:rPr>
          <w:rFonts w:eastAsia="Times New Roman"/>
          <w:sz w:val="20"/>
          <w:szCs w:val="20"/>
        </w:rPr>
      </w:pPr>
    </w:p>
    <w:p w14:paraId="2D275B69" w14:textId="77777777" w:rsidR="00B24659" w:rsidRPr="000340A8" w:rsidRDefault="00B24659" w:rsidP="00B24659">
      <w:pPr>
        <w:ind w:left="705" w:hanging="705"/>
        <w:rPr>
          <w:rFonts w:eastAsia="Times New Roman"/>
          <w:b/>
          <w:sz w:val="20"/>
          <w:szCs w:val="20"/>
        </w:rPr>
      </w:pPr>
      <w:r w:rsidRPr="000340A8">
        <w:rPr>
          <w:rFonts w:eastAsia="Times New Roman"/>
          <w:sz w:val="20"/>
          <w:szCs w:val="20"/>
        </w:rPr>
        <w:t>(</w:t>
      </w:r>
      <w:r w:rsidRPr="000340A8">
        <w:rPr>
          <w:rFonts w:eastAsia="Times New Roman"/>
          <w:b/>
          <w:sz w:val="20"/>
          <w:szCs w:val="20"/>
        </w:rPr>
        <w:t>**</w:t>
      </w:r>
      <w:r w:rsidRPr="000340A8">
        <w:rPr>
          <w:rFonts w:eastAsia="Times New Roman"/>
          <w:sz w:val="20"/>
          <w:szCs w:val="20"/>
        </w:rPr>
        <w:t xml:space="preserve">) </w:t>
      </w:r>
      <w:r>
        <w:rPr>
          <w:rFonts w:eastAsia="Times New Roman"/>
          <w:sz w:val="20"/>
          <w:szCs w:val="20"/>
        </w:rPr>
        <w:tab/>
      </w:r>
      <w:r w:rsidRPr="000340A8">
        <w:rPr>
          <w:rFonts w:eastAsia="Times New Roman"/>
          <w:sz w:val="20"/>
          <w:szCs w:val="20"/>
        </w:rPr>
        <w:t xml:space="preserve">Die </w:t>
      </w:r>
      <w:r w:rsidRPr="000340A8">
        <w:rPr>
          <w:rFonts w:eastAsia="Times New Roman"/>
          <w:b/>
          <w:sz w:val="20"/>
          <w:szCs w:val="20"/>
        </w:rPr>
        <w:t>Aufbewahrungsfrist</w:t>
      </w:r>
      <w:r>
        <w:rPr>
          <w:rFonts w:eastAsia="Times New Roman"/>
          <w:sz w:val="20"/>
          <w:szCs w:val="20"/>
        </w:rPr>
        <w:t xml:space="preserve"> für das Verbandbuch beträgt </w:t>
      </w:r>
      <w:r w:rsidRPr="000340A8">
        <w:rPr>
          <w:rFonts w:eastAsia="Times New Roman"/>
          <w:sz w:val="20"/>
          <w:szCs w:val="20"/>
        </w:rPr>
        <w:t xml:space="preserve">mindestens </w:t>
      </w:r>
      <w:r w:rsidRPr="000340A8">
        <w:rPr>
          <w:rFonts w:eastAsia="Times New Roman"/>
          <w:b/>
          <w:sz w:val="20"/>
          <w:szCs w:val="20"/>
        </w:rPr>
        <w:t>5 Jahre</w:t>
      </w:r>
      <w:r w:rsidRPr="000340A8">
        <w:rPr>
          <w:rFonts w:eastAsia="Times New Roman"/>
          <w:sz w:val="20"/>
          <w:szCs w:val="20"/>
        </w:rPr>
        <w:t xml:space="preserve"> nach der letzten Eintragung.</w:t>
      </w:r>
      <w:r>
        <w:rPr>
          <w:rFonts w:eastAsia="Times New Roman"/>
          <w:sz w:val="20"/>
          <w:szCs w:val="20"/>
        </w:rPr>
        <w:t xml:space="preserve"> Das Verbandbuch ist vertraulich zu behandeln.</w:t>
      </w:r>
    </w:p>
    <w:p w14:paraId="59EAA522" w14:textId="77777777" w:rsidR="00B24659" w:rsidRPr="008A2310" w:rsidRDefault="00B24659" w:rsidP="00B24659">
      <w:pPr>
        <w:ind w:left="705" w:hanging="705"/>
        <w:rPr>
          <w:sz w:val="20"/>
        </w:rPr>
      </w:pPr>
    </w:p>
    <w:p w14:paraId="19CDE8F6" w14:textId="77777777" w:rsidR="003A42EA" w:rsidRDefault="003A42EA" w:rsidP="00B24659">
      <w:pPr>
        <w:jc w:val="both"/>
        <w:rPr>
          <w:sz w:val="20"/>
        </w:rPr>
      </w:pPr>
    </w:p>
    <w:p w14:paraId="0B6EF685" w14:textId="77777777" w:rsidR="00746B2B" w:rsidRPr="00EB05EE" w:rsidRDefault="00746B2B" w:rsidP="00CD49D0">
      <w:pPr>
        <w:jc w:val="both"/>
        <w:rPr>
          <w:rFonts w:eastAsia="Times New Roman"/>
          <w:sz w:val="20"/>
          <w:szCs w:val="20"/>
        </w:rPr>
      </w:pPr>
    </w:p>
    <w:p w14:paraId="3AF3F4EE" w14:textId="77777777" w:rsidR="00757193" w:rsidRPr="00CD49D0" w:rsidRDefault="00746B2B" w:rsidP="00757193">
      <w:pPr>
        <w:rPr>
          <w:rFonts w:eastAsia="Times New Roman"/>
          <w:b/>
          <w:bCs/>
          <w:sz w:val="24"/>
          <w:szCs w:val="24"/>
        </w:rPr>
      </w:pPr>
      <w:r w:rsidRPr="00CD49D0">
        <w:rPr>
          <w:rFonts w:eastAsia="Times New Roman"/>
          <w:b/>
          <w:bCs/>
          <w:sz w:val="24"/>
          <w:szCs w:val="24"/>
        </w:rPr>
        <w:t>Wegeu</w:t>
      </w:r>
      <w:r w:rsidR="00757193" w:rsidRPr="00CD49D0">
        <w:rPr>
          <w:rFonts w:eastAsia="Times New Roman"/>
          <w:b/>
          <w:bCs/>
          <w:sz w:val="24"/>
          <w:szCs w:val="24"/>
        </w:rPr>
        <w:t xml:space="preserve">nfall passiert </w:t>
      </w:r>
      <w:r w:rsidRPr="00CD49D0">
        <w:rPr>
          <w:rFonts w:eastAsia="Times New Roman"/>
          <w:b/>
          <w:bCs/>
          <w:sz w:val="24"/>
          <w:szCs w:val="24"/>
        </w:rPr>
        <w:t>-</w:t>
      </w:r>
      <w:r w:rsidR="00757193" w:rsidRPr="00CD49D0">
        <w:rPr>
          <w:rFonts w:eastAsia="Times New Roman"/>
          <w:b/>
          <w:bCs/>
          <w:sz w:val="24"/>
          <w:szCs w:val="24"/>
        </w:rPr>
        <w:t xml:space="preserve"> Was ist zu tun?</w:t>
      </w:r>
    </w:p>
    <w:p w14:paraId="3C08132C" w14:textId="77777777" w:rsidR="00757193" w:rsidRPr="00EB05EE" w:rsidRDefault="00757193" w:rsidP="00757193">
      <w:pPr>
        <w:rPr>
          <w:rFonts w:eastAsia="Times New Roman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6804"/>
      </w:tblGrid>
      <w:tr w:rsidR="00757193" w:rsidRPr="000340A8" w14:paraId="1338D3ED" w14:textId="77777777" w:rsidTr="002D3289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481E" w14:textId="77777777" w:rsidR="00757193" w:rsidRPr="00757193" w:rsidRDefault="00757193" w:rsidP="00757193">
            <w:pPr>
              <w:spacing w:before="60" w:after="60"/>
              <w:rPr>
                <w:rFonts w:eastAsia="Times New Roman"/>
                <w:b/>
                <w:sz w:val="20"/>
                <w:szCs w:val="18"/>
              </w:rPr>
            </w:pPr>
            <w:r w:rsidRPr="00757193">
              <w:rPr>
                <w:rFonts w:eastAsia="Times New Roman"/>
                <w:b/>
                <w:sz w:val="20"/>
                <w:szCs w:val="18"/>
              </w:rPr>
              <w:t>Verfahrensschritte: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52B" w14:textId="77777777" w:rsidR="00757193" w:rsidRPr="00757193" w:rsidRDefault="00757193" w:rsidP="00757193">
            <w:pPr>
              <w:spacing w:before="60" w:after="60"/>
              <w:rPr>
                <w:rFonts w:eastAsia="Times New Roman"/>
                <w:b/>
                <w:sz w:val="20"/>
                <w:szCs w:val="18"/>
              </w:rPr>
            </w:pPr>
            <w:r w:rsidRPr="00757193">
              <w:rPr>
                <w:rFonts w:eastAsia="Times New Roman"/>
                <w:b/>
                <w:sz w:val="20"/>
                <w:szCs w:val="18"/>
              </w:rPr>
              <w:t>Wie bzw. womit?</w:t>
            </w:r>
          </w:p>
        </w:tc>
      </w:tr>
      <w:tr w:rsidR="009845EA" w:rsidRPr="00575167" w14:paraId="6FF77C35" w14:textId="77777777" w:rsidTr="002D3289">
        <w:tc>
          <w:tcPr>
            <w:tcW w:w="2948" w:type="dxa"/>
            <w:shd w:val="clear" w:color="auto" w:fill="auto"/>
          </w:tcPr>
          <w:p w14:paraId="0626F282" w14:textId="26D476F7" w:rsidR="009845EA" w:rsidRDefault="003A42EA" w:rsidP="00CD49D0">
            <w:pPr>
              <w:tabs>
                <w:tab w:val="left" w:pos="318"/>
              </w:tabs>
              <w:spacing w:before="20" w:after="20"/>
              <w:rPr>
                <w:rFonts w:eastAsia="Times New Roman"/>
                <w:sz w:val="20"/>
                <w:szCs w:val="18"/>
              </w:rPr>
            </w:pPr>
            <w:r>
              <w:rPr>
                <w:rFonts w:eastAsia="Times New Roman"/>
                <w:sz w:val="20"/>
                <w:szCs w:val="18"/>
              </w:rPr>
              <w:t>Wegeunfall</w:t>
            </w:r>
            <w:r w:rsidR="00C6441C">
              <w:rPr>
                <w:rFonts w:eastAsia="Times New Roman"/>
                <w:sz w:val="20"/>
                <w:szCs w:val="18"/>
              </w:rPr>
              <w:t xml:space="preserve"> (</w:t>
            </w:r>
            <w:r w:rsidR="00C6441C" w:rsidRPr="003A42EA">
              <w:rPr>
                <w:rFonts w:eastAsia="Times New Roman"/>
                <w:b/>
                <w:bCs/>
                <w:sz w:val="20"/>
                <w:u w:val="single"/>
              </w:rPr>
              <w:t xml:space="preserve">nur auf Anfrage der </w:t>
            </w:r>
            <w:r w:rsidR="00C6441C" w:rsidRPr="00C6441C">
              <w:rPr>
                <w:rFonts w:eastAsia="Times New Roman"/>
                <w:b/>
                <w:bCs/>
                <w:sz w:val="20"/>
                <w:u w:val="single"/>
              </w:rPr>
              <w:t>BGW auszufüllen</w:t>
            </w:r>
            <w:r w:rsidR="00C6441C">
              <w:rPr>
                <w:rFonts w:eastAsia="Times New Roman"/>
                <w:b/>
                <w:bCs/>
                <w:sz w:val="20"/>
              </w:rPr>
              <w:t>!)</w:t>
            </w:r>
          </w:p>
        </w:tc>
        <w:tc>
          <w:tcPr>
            <w:tcW w:w="6804" w:type="dxa"/>
            <w:shd w:val="clear" w:color="auto" w:fill="auto"/>
          </w:tcPr>
          <w:p w14:paraId="1F321CAD" w14:textId="77777777" w:rsidR="003A42EA" w:rsidRPr="003A42EA" w:rsidRDefault="003A42EA" w:rsidP="00CD49D0">
            <w:pPr>
              <w:spacing w:before="20" w:after="20"/>
              <w:rPr>
                <w:rFonts w:eastAsia="Times New Roman"/>
                <w:sz w:val="20"/>
              </w:rPr>
            </w:pPr>
            <w:r w:rsidRPr="003A42EA">
              <w:rPr>
                <w:rFonts w:eastAsia="Times New Roman"/>
                <w:sz w:val="20"/>
              </w:rPr>
              <w:t xml:space="preserve">Den Wegeunfallfragebogen nutzen Sie bitte </w:t>
            </w:r>
            <w:r w:rsidRPr="003A42EA">
              <w:rPr>
                <w:rFonts w:eastAsia="Times New Roman"/>
                <w:b/>
                <w:bCs/>
                <w:sz w:val="20"/>
                <w:u w:val="single"/>
              </w:rPr>
              <w:t>nur auf Anfrage der BGW</w:t>
            </w:r>
            <w:r w:rsidRPr="003A42EA">
              <w:rPr>
                <w:rFonts w:eastAsia="Times New Roman"/>
                <w:b/>
                <w:bCs/>
                <w:sz w:val="20"/>
              </w:rPr>
              <w:t>!</w:t>
            </w:r>
          </w:p>
          <w:p w14:paraId="6082DC35" w14:textId="77777777" w:rsidR="003A42EA" w:rsidRPr="003A42EA" w:rsidRDefault="003A42EA" w:rsidP="00CD49D0">
            <w:pPr>
              <w:spacing w:before="20" w:after="20"/>
              <w:rPr>
                <w:rFonts w:eastAsia="Times New Roman"/>
                <w:sz w:val="20"/>
              </w:rPr>
            </w:pPr>
          </w:p>
          <w:p w14:paraId="1746C269" w14:textId="77777777" w:rsidR="003A42EA" w:rsidRPr="003A42EA" w:rsidRDefault="003A42EA" w:rsidP="00CD49D0">
            <w:pPr>
              <w:spacing w:before="20" w:after="20"/>
              <w:rPr>
                <w:rFonts w:eastAsia="Times New Roman"/>
                <w:sz w:val="20"/>
              </w:rPr>
            </w:pPr>
            <w:r w:rsidRPr="003A42EA">
              <w:rPr>
                <w:rFonts w:eastAsia="Times New Roman"/>
                <w:sz w:val="20"/>
              </w:rPr>
              <w:t xml:space="preserve">Zum Online-Formular „Wegeunfall-Fragebogen“ der BGW geht’s </w:t>
            </w:r>
            <w:hyperlink r:id="rId15" w:history="1">
              <w:r w:rsidRPr="003A42EA">
                <w:rPr>
                  <w:rStyle w:val="Hyperlink"/>
                  <w:rFonts w:eastAsia="Times"/>
                  <w:b/>
                  <w:bCs/>
                  <w:szCs w:val="22"/>
                </w:rPr>
                <w:t>hier</w:t>
              </w:r>
            </w:hyperlink>
            <w:r w:rsidRPr="003A42EA">
              <w:rPr>
                <w:rFonts w:eastAsia="Times New Roman"/>
                <w:sz w:val="20"/>
              </w:rPr>
              <w:t>.</w:t>
            </w:r>
          </w:p>
          <w:p w14:paraId="109CF1DE" w14:textId="5A1B0D58" w:rsidR="009845EA" w:rsidRPr="00575167" w:rsidRDefault="003A42EA" w:rsidP="00CD49D0">
            <w:pPr>
              <w:spacing w:before="20" w:after="20"/>
              <w:rPr>
                <w:rFonts w:eastAsia="Times New Roman"/>
                <w:sz w:val="20"/>
              </w:rPr>
            </w:pPr>
            <w:r w:rsidRPr="003A42EA">
              <w:rPr>
                <w:rFonts w:eastAsia="Times New Roman"/>
                <w:sz w:val="20"/>
              </w:rPr>
              <w:t xml:space="preserve">Zum pdf-Formular „Wegeunfall-Fragebogen“ der BGW geht’s </w:t>
            </w:r>
            <w:hyperlink r:id="rId16" w:history="1">
              <w:r w:rsidRPr="003A42EA">
                <w:rPr>
                  <w:rStyle w:val="Hyperlink"/>
                  <w:rFonts w:eastAsia="Times"/>
                  <w:b/>
                  <w:bCs/>
                  <w:szCs w:val="22"/>
                </w:rPr>
                <w:t>hier</w:t>
              </w:r>
            </w:hyperlink>
            <w:r w:rsidRPr="003A42EA">
              <w:rPr>
                <w:rFonts w:eastAsia="Times New Roman"/>
                <w:sz w:val="20"/>
              </w:rPr>
              <w:t>.</w:t>
            </w:r>
            <w:r w:rsidR="002D3289">
              <w:rPr>
                <w:rFonts w:eastAsia="Times New Roman"/>
                <w:sz w:val="20"/>
              </w:rPr>
              <w:br/>
            </w:r>
          </w:p>
        </w:tc>
      </w:tr>
    </w:tbl>
    <w:p w14:paraId="0464DDB1" w14:textId="77777777" w:rsidR="00757193" w:rsidRDefault="00757193" w:rsidP="00757193">
      <w:pPr>
        <w:ind w:left="705" w:hanging="705"/>
        <w:rPr>
          <w:sz w:val="20"/>
        </w:rPr>
      </w:pPr>
    </w:p>
    <w:p w14:paraId="2C997A16" w14:textId="77777777" w:rsidR="00746B2B" w:rsidRDefault="00746B2B" w:rsidP="00746B2B">
      <w:pPr>
        <w:rPr>
          <w:sz w:val="20"/>
        </w:rPr>
      </w:pPr>
    </w:p>
    <w:p w14:paraId="16ED6CF8" w14:textId="77777777" w:rsidR="00746B2B" w:rsidRPr="00CD49D0" w:rsidRDefault="00CD49D0" w:rsidP="00746B2B">
      <w:pPr>
        <w:rPr>
          <w:rFonts w:eastAsia="Times New Roman"/>
          <w:b/>
          <w:bCs/>
          <w:sz w:val="24"/>
          <w:szCs w:val="24"/>
        </w:rPr>
      </w:pPr>
      <w:r w:rsidRPr="00CD49D0">
        <w:rPr>
          <w:rFonts w:eastAsia="Times New Roman"/>
          <w:b/>
          <w:bCs/>
          <w:sz w:val="24"/>
          <w:szCs w:val="24"/>
        </w:rPr>
        <w:t>Weiterführende Informationen der Berufsgenossenschaft (BGW):</w:t>
      </w:r>
    </w:p>
    <w:p w14:paraId="2D7A2ACE" w14:textId="77777777" w:rsidR="00746B2B" w:rsidRPr="00CD49D0" w:rsidRDefault="00746B2B" w:rsidP="00746B2B">
      <w:pPr>
        <w:rPr>
          <w:rFonts w:eastAsia="Times New Roman"/>
          <w:sz w:val="20"/>
          <w:szCs w:val="18"/>
        </w:rPr>
      </w:pPr>
    </w:p>
    <w:p w14:paraId="42C8E9F7" w14:textId="77777777" w:rsidR="00746B2B" w:rsidRPr="00CD49D0" w:rsidRDefault="00746B2B" w:rsidP="00746B2B">
      <w:pPr>
        <w:jc w:val="both"/>
      </w:pPr>
      <w:r w:rsidRPr="00CD49D0">
        <w:t xml:space="preserve">- </w:t>
      </w:r>
      <w:hyperlink r:id="rId17" w:history="1">
        <w:r w:rsidRPr="00CD49D0">
          <w:rPr>
            <w:rStyle w:val="Hyperlink"/>
            <w:rFonts w:eastAsia="Times"/>
            <w:b/>
            <w:bCs/>
            <w:sz w:val="22"/>
            <w:szCs w:val="22"/>
          </w:rPr>
          <w:t>Arbeitsunfall</w:t>
        </w:r>
      </w:hyperlink>
    </w:p>
    <w:p w14:paraId="30C48D5C" w14:textId="77777777" w:rsidR="00746B2B" w:rsidRPr="00CD49D0" w:rsidRDefault="00746B2B" w:rsidP="00746B2B">
      <w:pPr>
        <w:jc w:val="both"/>
      </w:pPr>
      <w:r w:rsidRPr="00CD49D0">
        <w:t xml:space="preserve">- </w:t>
      </w:r>
      <w:hyperlink r:id="rId18" w:history="1">
        <w:r w:rsidRPr="00CD49D0">
          <w:rPr>
            <w:rStyle w:val="Hyperlink"/>
            <w:rFonts w:eastAsia="Times"/>
            <w:b/>
            <w:bCs/>
            <w:sz w:val="22"/>
            <w:szCs w:val="22"/>
          </w:rPr>
          <w:t>Wegeunfall</w:t>
        </w:r>
      </w:hyperlink>
    </w:p>
    <w:p w14:paraId="7F6FDA16" w14:textId="77777777" w:rsidR="00746B2B" w:rsidRDefault="00746B2B" w:rsidP="00746B2B">
      <w:pPr>
        <w:jc w:val="both"/>
      </w:pPr>
      <w:r w:rsidRPr="00CD49D0">
        <w:t xml:space="preserve">- </w:t>
      </w:r>
      <w:hyperlink r:id="rId19" w:history="1">
        <w:r w:rsidRPr="00CD49D0">
          <w:rPr>
            <w:rStyle w:val="Hyperlink"/>
            <w:rFonts w:eastAsia="Times"/>
            <w:b/>
            <w:bCs/>
            <w:sz w:val="22"/>
            <w:szCs w:val="22"/>
          </w:rPr>
          <w:t>Unfall &amp; Berufskrankheit</w:t>
        </w:r>
      </w:hyperlink>
    </w:p>
    <w:p w14:paraId="3E8211B4" w14:textId="77777777" w:rsidR="002D3289" w:rsidRDefault="002D3289" w:rsidP="00C31420">
      <w:pPr>
        <w:rPr>
          <w:sz w:val="20"/>
        </w:rPr>
      </w:pPr>
    </w:p>
    <w:sectPr w:rsidR="002D3289" w:rsidSect="002A3161">
      <w:headerReference w:type="default" r:id="rId20"/>
      <w:footerReference w:type="default" r:id="rId21"/>
      <w:pgSz w:w="11906" w:h="16838"/>
      <w:pgMar w:top="1843" w:right="964" w:bottom="113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3F3B" w14:textId="77777777" w:rsidR="00F417E5" w:rsidRDefault="00F417E5">
      <w:r>
        <w:separator/>
      </w:r>
    </w:p>
  </w:endnote>
  <w:endnote w:type="continuationSeparator" w:id="0">
    <w:p w14:paraId="497A2290" w14:textId="77777777" w:rsidR="00F417E5" w:rsidRDefault="00F4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9703" w14:textId="0D84B19C" w:rsidR="00FF2C62" w:rsidRPr="00D665FD" w:rsidRDefault="00FF2C62" w:rsidP="003C08C4">
    <w:pPr>
      <w:pStyle w:val="Fuzeile"/>
      <w:tabs>
        <w:tab w:val="clear" w:pos="4536"/>
        <w:tab w:val="clear" w:pos="9072"/>
        <w:tab w:val="center" w:pos="5387"/>
        <w:tab w:val="right" w:pos="9781"/>
      </w:tabs>
      <w:rPr>
        <w:sz w:val="20"/>
        <w:szCs w:val="20"/>
      </w:rPr>
    </w:pPr>
    <w:r w:rsidRPr="00D200B7">
      <w:rPr>
        <w:sz w:val="20"/>
        <w:szCs w:val="20"/>
      </w:rPr>
      <w:t>© LZK BW</w:t>
    </w:r>
    <w:r w:rsidR="00C436C6" w:rsidRPr="00D200B7">
      <w:rPr>
        <w:sz w:val="20"/>
        <w:szCs w:val="20"/>
      </w:rPr>
      <w:t xml:space="preserve"> </w:t>
    </w:r>
    <w:r w:rsidR="00757193" w:rsidRPr="00D200B7">
      <w:rPr>
        <w:sz w:val="20"/>
        <w:szCs w:val="20"/>
      </w:rPr>
      <w:t>0</w:t>
    </w:r>
    <w:r w:rsidR="00D03DE8">
      <w:rPr>
        <w:sz w:val="20"/>
        <w:szCs w:val="20"/>
      </w:rPr>
      <w:t>2</w:t>
    </w:r>
    <w:r w:rsidR="00757193" w:rsidRPr="00D200B7">
      <w:rPr>
        <w:sz w:val="20"/>
        <w:szCs w:val="20"/>
      </w:rPr>
      <w:t>/202</w:t>
    </w:r>
    <w:r w:rsidR="00D03DE8">
      <w:rPr>
        <w:sz w:val="20"/>
        <w:szCs w:val="20"/>
      </w:rPr>
      <w:t>3</w:t>
    </w:r>
    <w:r w:rsidRPr="00D200B7">
      <w:rPr>
        <w:sz w:val="20"/>
        <w:szCs w:val="20"/>
      </w:rPr>
      <w:tab/>
      <w:t xml:space="preserve">Verfahrensanweisung </w:t>
    </w:r>
    <w:r w:rsidR="00D200B7">
      <w:rPr>
        <w:sz w:val="20"/>
        <w:szCs w:val="20"/>
      </w:rPr>
      <w:t>-</w:t>
    </w:r>
    <w:r w:rsidRPr="00D200B7">
      <w:rPr>
        <w:sz w:val="20"/>
        <w:szCs w:val="20"/>
      </w:rPr>
      <w:t xml:space="preserve"> </w:t>
    </w:r>
    <w:r w:rsidR="00154CC3" w:rsidRPr="00D200B7">
      <w:rPr>
        <w:sz w:val="20"/>
        <w:szCs w:val="20"/>
      </w:rPr>
      <w:t>Arbeitsschutz und Arbeitsmedizin</w:t>
    </w:r>
    <w:r w:rsidRPr="00D200B7">
      <w:rPr>
        <w:sz w:val="20"/>
        <w:szCs w:val="20"/>
      </w:rPr>
      <w:t xml:space="preserve"> </w:t>
    </w:r>
    <w:r w:rsidR="00D200B7">
      <w:rPr>
        <w:sz w:val="20"/>
        <w:szCs w:val="20"/>
      </w:rPr>
      <w:t>-</w:t>
    </w:r>
    <w:r w:rsidRPr="00D200B7">
      <w:rPr>
        <w:sz w:val="20"/>
        <w:szCs w:val="20"/>
      </w:rPr>
      <w:t xml:space="preserve"> VA </w:t>
    </w:r>
    <w:r w:rsidR="00154CC3" w:rsidRPr="00D200B7">
      <w:rPr>
        <w:sz w:val="20"/>
        <w:szCs w:val="20"/>
      </w:rPr>
      <w:t xml:space="preserve">A </w:t>
    </w:r>
    <w:r w:rsidRPr="00D200B7">
      <w:rPr>
        <w:sz w:val="20"/>
        <w:szCs w:val="20"/>
      </w:rPr>
      <w:t>0</w:t>
    </w:r>
    <w:r w:rsidR="002D3289">
      <w:rPr>
        <w:sz w:val="20"/>
        <w:szCs w:val="20"/>
      </w:rPr>
      <w:t>2</w:t>
    </w:r>
    <w:r w:rsidRPr="00D200B7">
      <w:rPr>
        <w:sz w:val="20"/>
        <w:szCs w:val="20"/>
      </w:rPr>
      <w:tab/>
      <w:t xml:space="preserve">Seite </w:t>
    </w:r>
    <w:r w:rsidRPr="00D200B7">
      <w:rPr>
        <w:rStyle w:val="Seitenzahl"/>
        <w:sz w:val="20"/>
        <w:szCs w:val="20"/>
      </w:rPr>
      <w:fldChar w:fldCharType="begin"/>
    </w:r>
    <w:r w:rsidRPr="00D200B7">
      <w:rPr>
        <w:rStyle w:val="Seitenzahl"/>
        <w:sz w:val="20"/>
        <w:szCs w:val="20"/>
      </w:rPr>
      <w:instrText xml:space="preserve"> PAGE </w:instrText>
    </w:r>
    <w:r w:rsidRPr="00D200B7">
      <w:rPr>
        <w:rStyle w:val="Seitenzahl"/>
        <w:sz w:val="20"/>
        <w:szCs w:val="20"/>
      </w:rPr>
      <w:fldChar w:fldCharType="separate"/>
    </w:r>
    <w:r w:rsidR="002F0293">
      <w:rPr>
        <w:rStyle w:val="Seitenzahl"/>
        <w:noProof/>
        <w:sz w:val="20"/>
        <w:szCs w:val="20"/>
      </w:rPr>
      <w:t>2</w:t>
    </w:r>
    <w:r w:rsidRPr="00D200B7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AAE7" w14:textId="77777777" w:rsidR="00F417E5" w:rsidRDefault="00F417E5">
      <w:r>
        <w:separator/>
      </w:r>
    </w:p>
  </w:footnote>
  <w:footnote w:type="continuationSeparator" w:id="0">
    <w:p w14:paraId="07A60B1A" w14:textId="77777777" w:rsidR="00F417E5" w:rsidRDefault="00F4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68D" w14:textId="77777777" w:rsidR="00FF2C62" w:rsidRDefault="00FF2C62" w:rsidP="00351A96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4BD"/>
    <w:multiLevelType w:val="hybridMultilevel"/>
    <w:tmpl w:val="693EE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C715B"/>
    <w:multiLevelType w:val="hybridMultilevel"/>
    <w:tmpl w:val="B68C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A19A4"/>
    <w:multiLevelType w:val="hybridMultilevel"/>
    <w:tmpl w:val="BCFA61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14428"/>
    <w:multiLevelType w:val="hybridMultilevel"/>
    <w:tmpl w:val="EF5E92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630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0DD6D13"/>
    <w:multiLevelType w:val="hybridMultilevel"/>
    <w:tmpl w:val="95C652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B5175"/>
    <w:multiLevelType w:val="hybridMultilevel"/>
    <w:tmpl w:val="E7AC2DE0"/>
    <w:lvl w:ilvl="0" w:tplc="DB18C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D2D2B"/>
    <w:multiLevelType w:val="hybridMultilevel"/>
    <w:tmpl w:val="11869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76C4A"/>
    <w:multiLevelType w:val="hybridMultilevel"/>
    <w:tmpl w:val="5E72C246"/>
    <w:lvl w:ilvl="0" w:tplc="7B10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0B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8E5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AC5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300D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0C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8E7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82E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64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B6CBE"/>
    <w:multiLevelType w:val="singleLevel"/>
    <w:tmpl w:val="04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7EEF58A2"/>
    <w:multiLevelType w:val="hybridMultilevel"/>
    <w:tmpl w:val="27C65308"/>
    <w:lvl w:ilvl="0" w:tplc="0D6C6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5332">
    <w:abstractNumId w:val="8"/>
  </w:num>
  <w:num w:numId="2" w16cid:durableId="446856850">
    <w:abstractNumId w:val="1"/>
  </w:num>
  <w:num w:numId="3" w16cid:durableId="1924223856">
    <w:abstractNumId w:val="7"/>
  </w:num>
  <w:num w:numId="4" w16cid:durableId="605816274">
    <w:abstractNumId w:val="5"/>
  </w:num>
  <w:num w:numId="5" w16cid:durableId="1764916797">
    <w:abstractNumId w:val="9"/>
  </w:num>
  <w:num w:numId="6" w16cid:durableId="1097866281">
    <w:abstractNumId w:val="4"/>
  </w:num>
  <w:num w:numId="7" w16cid:durableId="296497701">
    <w:abstractNumId w:val="2"/>
  </w:num>
  <w:num w:numId="8" w16cid:durableId="1654791527">
    <w:abstractNumId w:val="3"/>
  </w:num>
  <w:num w:numId="9" w16cid:durableId="621615382">
    <w:abstractNumId w:val="9"/>
    <w:lvlOverride w:ilvl="0">
      <w:startOverride w:val="1"/>
    </w:lvlOverride>
  </w:num>
  <w:num w:numId="10" w16cid:durableId="158274525">
    <w:abstractNumId w:val="0"/>
  </w:num>
  <w:num w:numId="11" w16cid:durableId="997345560">
    <w:abstractNumId w:val="6"/>
  </w:num>
  <w:num w:numId="12" w16cid:durableId="345490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93"/>
    <w:rsid w:val="000233C2"/>
    <w:rsid w:val="00026B6D"/>
    <w:rsid w:val="000340A8"/>
    <w:rsid w:val="0004312C"/>
    <w:rsid w:val="000473A7"/>
    <w:rsid w:val="00047FBF"/>
    <w:rsid w:val="0005033A"/>
    <w:rsid w:val="00057E51"/>
    <w:rsid w:val="00060661"/>
    <w:rsid w:val="00067812"/>
    <w:rsid w:val="0008227E"/>
    <w:rsid w:val="00090691"/>
    <w:rsid w:val="000B604E"/>
    <w:rsid w:val="000C3B8C"/>
    <w:rsid w:val="000C6705"/>
    <w:rsid w:val="000E536E"/>
    <w:rsid w:val="000F6639"/>
    <w:rsid w:val="000F79D5"/>
    <w:rsid w:val="0010782D"/>
    <w:rsid w:val="0011223A"/>
    <w:rsid w:val="001476B8"/>
    <w:rsid w:val="00150193"/>
    <w:rsid w:val="00154CC3"/>
    <w:rsid w:val="00183381"/>
    <w:rsid w:val="00185858"/>
    <w:rsid w:val="001860A9"/>
    <w:rsid w:val="0018677F"/>
    <w:rsid w:val="001A1D04"/>
    <w:rsid w:val="001B7922"/>
    <w:rsid w:val="001D557F"/>
    <w:rsid w:val="001F437C"/>
    <w:rsid w:val="00207476"/>
    <w:rsid w:val="00225FDC"/>
    <w:rsid w:val="00233A9B"/>
    <w:rsid w:val="00233FFE"/>
    <w:rsid w:val="00240771"/>
    <w:rsid w:val="00243FBF"/>
    <w:rsid w:val="00252F57"/>
    <w:rsid w:val="002531F6"/>
    <w:rsid w:val="00282D9F"/>
    <w:rsid w:val="002832F7"/>
    <w:rsid w:val="00283EB9"/>
    <w:rsid w:val="002A3161"/>
    <w:rsid w:val="002B156A"/>
    <w:rsid w:val="002B2177"/>
    <w:rsid w:val="002B7C82"/>
    <w:rsid w:val="002C73A3"/>
    <w:rsid w:val="002D03F4"/>
    <w:rsid w:val="002D3289"/>
    <w:rsid w:val="002E0D77"/>
    <w:rsid w:val="002E36F1"/>
    <w:rsid w:val="002F0293"/>
    <w:rsid w:val="003140F0"/>
    <w:rsid w:val="003343CA"/>
    <w:rsid w:val="00334C1F"/>
    <w:rsid w:val="00343932"/>
    <w:rsid w:val="00351A96"/>
    <w:rsid w:val="00352E24"/>
    <w:rsid w:val="003532A8"/>
    <w:rsid w:val="003539AA"/>
    <w:rsid w:val="003912CE"/>
    <w:rsid w:val="0039240F"/>
    <w:rsid w:val="003A42EA"/>
    <w:rsid w:val="003A773D"/>
    <w:rsid w:val="003C08C4"/>
    <w:rsid w:val="003C2F98"/>
    <w:rsid w:val="003D701E"/>
    <w:rsid w:val="003E1E51"/>
    <w:rsid w:val="00400C97"/>
    <w:rsid w:val="0043182E"/>
    <w:rsid w:val="00434FBC"/>
    <w:rsid w:val="0044216F"/>
    <w:rsid w:val="00443414"/>
    <w:rsid w:val="004441B1"/>
    <w:rsid w:val="00476BE9"/>
    <w:rsid w:val="0047726D"/>
    <w:rsid w:val="00495AC6"/>
    <w:rsid w:val="004A11E5"/>
    <w:rsid w:val="004A30EC"/>
    <w:rsid w:val="004B50E6"/>
    <w:rsid w:val="004C0475"/>
    <w:rsid w:val="004D67AD"/>
    <w:rsid w:val="004E3905"/>
    <w:rsid w:val="004E4309"/>
    <w:rsid w:val="00502DB3"/>
    <w:rsid w:val="00507DFD"/>
    <w:rsid w:val="005302D5"/>
    <w:rsid w:val="00543B19"/>
    <w:rsid w:val="005706DA"/>
    <w:rsid w:val="00575167"/>
    <w:rsid w:val="005A2867"/>
    <w:rsid w:val="005C5C5E"/>
    <w:rsid w:val="005E5DD2"/>
    <w:rsid w:val="00600057"/>
    <w:rsid w:val="00622CD7"/>
    <w:rsid w:val="00625CD4"/>
    <w:rsid w:val="006275A7"/>
    <w:rsid w:val="00632B17"/>
    <w:rsid w:val="006405CB"/>
    <w:rsid w:val="00647487"/>
    <w:rsid w:val="00671775"/>
    <w:rsid w:val="0067211D"/>
    <w:rsid w:val="006774CB"/>
    <w:rsid w:val="006A3074"/>
    <w:rsid w:val="006B2ADE"/>
    <w:rsid w:val="006C510C"/>
    <w:rsid w:val="006F0CA7"/>
    <w:rsid w:val="00712841"/>
    <w:rsid w:val="00715E77"/>
    <w:rsid w:val="00716594"/>
    <w:rsid w:val="007257B0"/>
    <w:rsid w:val="00736427"/>
    <w:rsid w:val="00746B2B"/>
    <w:rsid w:val="00747B3E"/>
    <w:rsid w:val="00753498"/>
    <w:rsid w:val="00757193"/>
    <w:rsid w:val="0076411A"/>
    <w:rsid w:val="00765D8D"/>
    <w:rsid w:val="00771F36"/>
    <w:rsid w:val="007763CC"/>
    <w:rsid w:val="00791DE2"/>
    <w:rsid w:val="0079261A"/>
    <w:rsid w:val="00792927"/>
    <w:rsid w:val="007A0F19"/>
    <w:rsid w:val="007A37F1"/>
    <w:rsid w:val="007B7649"/>
    <w:rsid w:val="007C61A2"/>
    <w:rsid w:val="007D0EBD"/>
    <w:rsid w:val="007E3E8C"/>
    <w:rsid w:val="007F38D6"/>
    <w:rsid w:val="00807DA3"/>
    <w:rsid w:val="00816033"/>
    <w:rsid w:val="0082158C"/>
    <w:rsid w:val="0084085D"/>
    <w:rsid w:val="008431E8"/>
    <w:rsid w:val="008441A2"/>
    <w:rsid w:val="00850463"/>
    <w:rsid w:val="00856635"/>
    <w:rsid w:val="00891D79"/>
    <w:rsid w:val="008A0AFE"/>
    <w:rsid w:val="008A2310"/>
    <w:rsid w:val="008A31A4"/>
    <w:rsid w:val="008B2EE1"/>
    <w:rsid w:val="008B37A8"/>
    <w:rsid w:val="008B6B23"/>
    <w:rsid w:val="008C37E5"/>
    <w:rsid w:val="008E476B"/>
    <w:rsid w:val="008E75D5"/>
    <w:rsid w:val="008F46FA"/>
    <w:rsid w:val="00933649"/>
    <w:rsid w:val="009342C7"/>
    <w:rsid w:val="00961CF8"/>
    <w:rsid w:val="009633F8"/>
    <w:rsid w:val="00977935"/>
    <w:rsid w:val="009845EA"/>
    <w:rsid w:val="00984991"/>
    <w:rsid w:val="009960B3"/>
    <w:rsid w:val="009A395C"/>
    <w:rsid w:val="009C1D64"/>
    <w:rsid w:val="009E6EAF"/>
    <w:rsid w:val="009E729E"/>
    <w:rsid w:val="009E7AFA"/>
    <w:rsid w:val="009F30B1"/>
    <w:rsid w:val="00A151B0"/>
    <w:rsid w:val="00A2016E"/>
    <w:rsid w:val="00A279FC"/>
    <w:rsid w:val="00A6721C"/>
    <w:rsid w:val="00A864EC"/>
    <w:rsid w:val="00A93531"/>
    <w:rsid w:val="00AA482A"/>
    <w:rsid w:val="00AB0A40"/>
    <w:rsid w:val="00AB2D33"/>
    <w:rsid w:val="00AB53A8"/>
    <w:rsid w:val="00AD0870"/>
    <w:rsid w:val="00B10993"/>
    <w:rsid w:val="00B17865"/>
    <w:rsid w:val="00B215C9"/>
    <w:rsid w:val="00B24659"/>
    <w:rsid w:val="00B34CB0"/>
    <w:rsid w:val="00B456BA"/>
    <w:rsid w:val="00B662A6"/>
    <w:rsid w:val="00B66FCC"/>
    <w:rsid w:val="00B75213"/>
    <w:rsid w:val="00B77C2B"/>
    <w:rsid w:val="00B913F5"/>
    <w:rsid w:val="00BB5D32"/>
    <w:rsid w:val="00BD481E"/>
    <w:rsid w:val="00BD6A2D"/>
    <w:rsid w:val="00C01BC3"/>
    <w:rsid w:val="00C309E1"/>
    <w:rsid w:val="00C31420"/>
    <w:rsid w:val="00C335BF"/>
    <w:rsid w:val="00C40F7B"/>
    <w:rsid w:val="00C4181E"/>
    <w:rsid w:val="00C42B3C"/>
    <w:rsid w:val="00C436C6"/>
    <w:rsid w:val="00C52F5C"/>
    <w:rsid w:val="00C633A5"/>
    <w:rsid w:val="00C6441C"/>
    <w:rsid w:val="00C97FE4"/>
    <w:rsid w:val="00CA25B0"/>
    <w:rsid w:val="00CB6A23"/>
    <w:rsid w:val="00CC7902"/>
    <w:rsid w:val="00CD432E"/>
    <w:rsid w:val="00CD49D0"/>
    <w:rsid w:val="00CF50A5"/>
    <w:rsid w:val="00D03DE8"/>
    <w:rsid w:val="00D125A7"/>
    <w:rsid w:val="00D1426D"/>
    <w:rsid w:val="00D200B7"/>
    <w:rsid w:val="00D2222F"/>
    <w:rsid w:val="00D22481"/>
    <w:rsid w:val="00D3016A"/>
    <w:rsid w:val="00D665FD"/>
    <w:rsid w:val="00D72493"/>
    <w:rsid w:val="00D80187"/>
    <w:rsid w:val="00D836AB"/>
    <w:rsid w:val="00D939BC"/>
    <w:rsid w:val="00D97817"/>
    <w:rsid w:val="00DA5883"/>
    <w:rsid w:val="00DB2BEE"/>
    <w:rsid w:val="00DC1CF5"/>
    <w:rsid w:val="00DC78EF"/>
    <w:rsid w:val="00DE7056"/>
    <w:rsid w:val="00DF169A"/>
    <w:rsid w:val="00DF5DB1"/>
    <w:rsid w:val="00E42F32"/>
    <w:rsid w:val="00E4400C"/>
    <w:rsid w:val="00E44B9C"/>
    <w:rsid w:val="00E63968"/>
    <w:rsid w:val="00E66AD8"/>
    <w:rsid w:val="00E75F28"/>
    <w:rsid w:val="00E948D3"/>
    <w:rsid w:val="00E96DBC"/>
    <w:rsid w:val="00EA1F66"/>
    <w:rsid w:val="00EA58D5"/>
    <w:rsid w:val="00EB05EE"/>
    <w:rsid w:val="00EE596D"/>
    <w:rsid w:val="00F2120C"/>
    <w:rsid w:val="00F4071F"/>
    <w:rsid w:val="00F40DCC"/>
    <w:rsid w:val="00F417E5"/>
    <w:rsid w:val="00F44334"/>
    <w:rsid w:val="00F46FE6"/>
    <w:rsid w:val="00F475EA"/>
    <w:rsid w:val="00F80987"/>
    <w:rsid w:val="00F83289"/>
    <w:rsid w:val="00F9698C"/>
    <w:rsid w:val="00FA246D"/>
    <w:rsid w:val="00FB5DA8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F58D52E"/>
  <w15:chartTrackingRefBased/>
  <w15:docId w15:val="{EA661A9F-BD25-4B04-9221-A1D584CE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7193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33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335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665FD"/>
    <w:rPr>
      <w:rFonts w:ascii="Arial" w:hAnsi="Arial" w:cs="Arial"/>
      <w:sz w:val="22"/>
      <w:szCs w:val="22"/>
    </w:rPr>
  </w:style>
  <w:style w:type="character" w:styleId="Seitenzahl">
    <w:name w:val="page number"/>
    <w:rsid w:val="00D665FD"/>
  </w:style>
  <w:style w:type="character" w:styleId="Hyperlink">
    <w:name w:val="Hyperlink"/>
    <w:rsid w:val="005706DA"/>
    <w:rPr>
      <w:rFonts w:eastAsia="Times New Roman"/>
      <w:color w:val="800080"/>
      <w:sz w:val="20"/>
      <w:szCs w:val="18"/>
    </w:rPr>
  </w:style>
  <w:style w:type="character" w:customStyle="1" w:styleId="BesuchterHyperlink">
    <w:name w:val="BesuchterHyperlink"/>
    <w:basedOn w:val="Hyperlink"/>
    <w:rsid w:val="0076411A"/>
    <w:rPr>
      <w:rFonts w:eastAsia="Times New Roman"/>
      <w:color w:val="800080"/>
      <w:sz w:val="20"/>
      <w:szCs w:val="18"/>
    </w:rPr>
  </w:style>
  <w:style w:type="paragraph" w:styleId="Sprechblasentext">
    <w:name w:val="Balloon Text"/>
    <w:basedOn w:val="Standard"/>
    <w:link w:val="SprechblasentextZchn"/>
    <w:rsid w:val="00AB53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53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3E8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5C5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02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4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w-online.de/bgw-online-de/unfall-15048" TargetMode="External"/><Relationship Id="rId13" Type="http://schemas.openxmlformats.org/officeDocument/2006/relationships/hyperlink" Target="https://www.bgw-online.de/bgw-online-de/service/medien-arbeitshilfen/formulare/unfall-melden-wegeunfall-fragebogen-ausfuellen-14592" TargetMode="External"/><Relationship Id="rId18" Type="http://schemas.openxmlformats.org/officeDocument/2006/relationships/hyperlink" Target="https://www.bgw-online.de/bgw-online-de/service/unfall-berufskrankheit/unfaelle-psychische-beeintraechtigungen/wegeunfall-richtig-reagieren-so-hilft-ihnen-die-bgw-1502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viweb.dguv.de/faces/adf.task-flow;jsessionid=CCBQqoVtzPwoM9QR7qZmQeJPjNZhmV5FVSJKmiyhsmxzTMUs0oL7!-725437608?adf.tfId=partner-task-flow&amp;adf.tfDoc=%2FWEB-INF%2Fpartner-task-flow.xml&amp;VerzeichnisTyp=D" TargetMode="External"/><Relationship Id="rId17" Type="http://schemas.openxmlformats.org/officeDocument/2006/relationships/hyperlink" Target="https://www.bgw-online.de/bgw-online-de/service/unfall-berufskrankheit/unfaelle-psychische-beeintraechtigungen/arbeitsunfall-was-tun-so-unterstuetzt-sie-die-bgw-15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gw-online.de/resource/blob/19876/5165960bd0a1e9563aaebee5f4b94783/U3030-Wegeunfallfrageboge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b.lzk-bw.de/PHB-CD/QM-Anhang/Aushang_Einsicht/Notfall/Alarmpla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gw-online.de/bgw-online-de/service/medien-arbeitshilfen/formulare/unfall-melden-wegeunfall-fragebogen-ausfuellen-1459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yperlink" Target="https://www.bgw-online.de/bgw-online-de/service/unfall-berufskrankhe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gw-online.de/bgw-online-de/service/unfall-berufskrankheit/unfaelle-psychische-beeintraechtigungen" TargetMode="External"/><Relationship Id="rId14" Type="http://schemas.openxmlformats.org/officeDocument/2006/relationships/hyperlink" Target="https://www.bgw-online.de/resource/blob/19878/a874e4407f5d023f84c9a308c70c66b3/U3100-Unfallanzeige-mit-Erlaeuterung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4182-7276-404D-8DBC-EE8E83C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5363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comunikat</Company>
  <LinksUpToDate>false</LinksUpToDate>
  <CharactersWithSpaces>5870</CharactersWithSpaces>
  <SharedDoc>false</SharedDoc>
  <HLinks>
    <vt:vector size="54" baseType="variant">
      <vt:variant>
        <vt:i4>7471202</vt:i4>
      </vt:variant>
      <vt:variant>
        <vt:i4>48</vt:i4>
      </vt:variant>
      <vt:variant>
        <vt:i4>0</vt:i4>
      </vt:variant>
      <vt:variant>
        <vt:i4>5</vt:i4>
      </vt:variant>
      <vt:variant>
        <vt:lpwstr>https://www.bgw-online.de/bgw-online-de/service/unfall-berufskrankheit</vt:lpwstr>
      </vt:variant>
      <vt:variant>
        <vt:lpwstr/>
      </vt:variant>
      <vt:variant>
        <vt:i4>4587523</vt:i4>
      </vt:variant>
      <vt:variant>
        <vt:i4>45</vt:i4>
      </vt:variant>
      <vt:variant>
        <vt:i4>0</vt:i4>
      </vt:variant>
      <vt:variant>
        <vt:i4>5</vt:i4>
      </vt:variant>
      <vt:variant>
        <vt:lpwstr>https://www.bgw-online.de/bgw-online-de/service/unfall-berufskrankheit/unfaelle-psychische-beeintraechtigungen/wegeunfall-richtig-reagieren-so-hilft-ihnen-die-bgw-15024</vt:lpwstr>
      </vt:variant>
      <vt:variant>
        <vt:lpwstr/>
      </vt:variant>
      <vt:variant>
        <vt:i4>4128867</vt:i4>
      </vt:variant>
      <vt:variant>
        <vt:i4>42</vt:i4>
      </vt:variant>
      <vt:variant>
        <vt:i4>0</vt:i4>
      </vt:variant>
      <vt:variant>
        <vt:i4>5</vt:i4>
      </vt:variant>
      <vt:variant>
        <vt:lpwstr>https://www.bgw-online.de/bgw-online-de/service/unfall-berufskrankheit/unfaelle-psychische-beeintraechtigungen/arbeitsunfall-was-tun-so-unterstuetzt-sie-die-bgw-15022</vt:lpwstr>
      </vt:variant>
      <vt:variant>
        <vt:lpwstr/>
      </vt:variant>
      <vt:variant>
        <vt:i4>917527</vt:i4>
      </vt:variant>
      <vt:variant>
        <vt:i4>39</vt:i4>
      </vt:variant>
      <vt:variant>
        <vt:i4>0</vt:i4>
      </vt:variant>
      <vt:variant>
        <vt:i4>5</vt:i4>
      </vt:variant>
      <vt:variant>
        <vt:lpwstr>https://www.bgw-online.de/resource/blob/19876/5165960bd0a1e9563aaebee5f4b94783/U3030-Wegeunfallfragebogen.pdf</vt:lpwstr>
      </vt:variant>
      <vt:variant>
        <vt:lpwstr/>
      </vt:variant>
      <vt:variant>
        <vt:i4>2556013</vt:i4>
      </vt:variant>
      <vt:variant>
        <vt:i4>36</vt:i4>
      </vt:variant>
      <vt:variant>
        <vt:i4>0</vt:i4>
      </vt:variant>
      <vt:variant>
        <vt:i4>5</vt:i4>
      </vt:variant>
      <vt:variant>
        <vt:lpwstr>https://www.bgw-online.de/bgw-online-de/service/medien-arbeitshilfen/formulare/unfall-melden-wegeunfall-fragebogen-ausfuellen-14592</vt:lpwstr>
      </vt:variant>
      <vt:variant>
        <vt:lpwstr/>
      </vt:variant>
      <vt:variant>
        <vt:i4>7798905</vt:i4>
      </vt:variant>
      <vt:variant>
        <vt:i4>33</vt:i4>
      </vt:variant>
      <vt:variant>
        <vt:i4>0</vt:i4>
      </vt:variant>
      <vt:variant>
        <vt:i4>5</vt:i4>
      </vt:variant>
      <vt:variant>
        <vt:lpwstr>https://www.bgw-online.de/resource/blob/19878/a874e4407f5d023f84c9a308c70c66b3/U3100-Unfallanzeige-mit-Erlaeuterung.pdf</vt:lpwstr>
      </vt:variant>
      <vt:variant>
        <vt:lpwstr/>
      </vt:variant>
      <vt:variant>
        <vt:i4>2556013</vt:i4>
      </vt:variant>
      <vt:variant>
        <vt:i4>30</vt:i4>
      </vt:variant>
      <vt:variant>
        <vt:i4>0</vt:i4>
      </vt:variant>
      <vt:variant>
        <vt:i4>5</vt:i4>
      </vt:variant>
      <vt:variant>
        <vt:lpwstr>https://www.bgw-online.de/bgw-online-de/service/medien-arbeitshilfen/formulare/unfall-melden-wegeunfall-fragebogen-ausfuellen-14592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https://lviweb.dguv.de/faces/adf.task-flow;jsessionid=CCBQqoVtzPwoM9QR7qZmQeJPjNZhmV5FVSJKmiyhsmxzTMUs0oL7!-725437608?adf.tfId=partner-task-flow&amp;adf.tfDoc=%2FWEB-INF%2Fpartner-task-flow.xml&amp;VerzeichnisTyp=D</vt:lpwstr>
      </vt:variant>
      <vt:variant>
        <vt:lpwstr/>
      </vt:variant>
      <vt:variant>
        <vt:i4>1835066</vt:i4>
      </vt:variant>
      <vt:variant>
        <vt:i4>24</vt:i4>
      </vt:variant>
      <vt:variant>
        <vt:i4>0</vt:i4>
      </vt:variant>
      <vt:variant>
        <vt:i4>5</vt:i4>
      </vt:variant>
      <vt:variant>
        <vt:lpwstr>https://phb.lzk-bw.de/PHB-CD/QM-Anhang/Aushang_Einsicht/Notfall/Alarmplan.doc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Marco</dc:creator>
  <cp:keywords/>
  <cp:lastModifiedBy>Wagner, Marco</cp:lastModifiedBy>
  <cp:revision>5</cp:revision>
  <cp:lastPrinted>2022-04-11T10:09:00Z</cp:lastPrinted>
  <dcterms:created xsi:type="dcterms:W3CDTF">2022-05-05T11:41:00Z</dcterms:created>
  <dcterms:modified xsi:type="dcterms:W3CDTF">2023-02-20T12:19:00Z</dcterms:modified>
</cp:coreProperties>
</file>